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E3" w:rsidRPr="001D27E3" w:rsidRDefault="001D27E3" w:rsidP="001D27E3">
      <w:pPr>
        <w:jc w:val="center"/>
        <w:rPr>
          <w:rFonts w:ascii="Times New Roman" w:hAnsi="Times New Roman" w:cs="Times New Roman"/>
          <w:b/>
          <w:bCs/>
          <w:sz w:val="28"/>
          <w:szCs w:val="28"/>
        </w:rPr>
      </w:pPr>
      <w:r w:rsidRPr="001D27E3">
        <w:rPr>
          <w:rFonts w:ascii="Times New Roman" w:hAnsi="Times New Roman" w:cs="Times New Roman"/>
          <w:b/>
          <w:bCs/>
          <w:sz w:val="28"/>
          <w:szCs w:val="28"/>
        </w:rPr>
        <w:t>ІНФОРМАЦІЙНА КАРТКА</w:t>
      </w:r>
    </w:p>
    <w:p w:rsidR="007B7FA0" w:rsidRPr="008D659D" w:rsidRDefault="008D659D" w:rsidP="000678D6">
      <w:pPr>
        <w:spacing w:after="0" w:line="240" w:lineRule="auto"/>
        <w:jc w:val="center"/>
        <w:rPr>
          <w:rFonts w:ascii="Times New Roman" w:hAnsi="Times New Roman" w:cs="Times New Roman"/>
          <w:b/>
          <w:sz w:val="28"/>
          <w:szCs w:val="28"/>
          <w:u w:val="single"/>
        </w:rPr>
      </w:pPr>
      <w:bookmarkStart w:id="0" w:name="n13"/>
      <w:bookmarkEnd w:id="0"/>
      <w:r w:rsidRPr="008D659D">
        <w:rPr>
          <w:rFonts w:ascii="Times New Roman" w:hAnsi="Times New Roman" w:cs="Times New Roman"/>
          <w:b/>
          <w:sz w:val="28"/>
          <w:szCs w:val="28"/>
          <w:u w:val="single"/>
        </w:rPr>
        <w:t>адміністративної послуги з державної реєстрації обтяжень речових прав на нерухоме майно</w:t>
      </w:r>
    </w:p>
    <w:p w:rsidR="008D659D" w:rsidRPr="007B7FA0" w:rsidRDefault="008D659D" w:rsidP="000678D6">
      <w:pPr>
        <w:spacing w:after="0" w:line="240" w:lineRule="auto"/>
        <w:jc w:val="center"/>
        <w:rPr>
          <w:rFonts w:ascii="Times New Roman" w:hAnsi="Times New Roman" w:cs="Times New Roman"/>
          <w:b/>
          <w:sz w:val="28"/>
          <w:szCs w:val="28"/>
          <w:u w:val="single"/>
        </w:rPr>
      </w:pPr>
    </w:p>
    <w:p w:rsidR="001D27E3" w:rsidRPr="001D27E3" w:rsidRDefault="001D27E3" w:rsidP="000678D6">
      <w:pPr>
        <w:spacing w:after="0" w:line="240" w:lineRule="auto"/>
        <w:jc w:val="center"/>
        <w:rPr>
          <w:rFonts w:ascii="Times New Roman" w:hAnsi="Times New Roman" w:cs="Times New Roman"/>
          <w:b/>
          <w:bCs/>
          <w:sz w:val="28"/>
          <w:szCs w:val="28"/>
        </w:rPr>
      </w:pPr>
      <w:r w:rsidRPr="001D27E3">
        <w:rPr>
          <w:rFonts w:ascii="Times New Roman" w:hAnsi="Times New Roman" w:cs="Times New Roman"/>
          <w:b/>
          <w:bCs/>
          <w:sz w:val="28"/>
          <w:szCs w:val="28"/>
        </w:rPr>
        <w:t>відділ державної реєстрації управління «ЦНАП»</w:t>
      </w:r>
    </w:p>
    <w:p w:rsidR="001D27E3" w:rsidRPr="001D27E3" w:rsidRDefault="001D27E3" w:rsidP="000678D6">
      <w:pPr>
        <w:spacing w:after="0" w:line="240" w:lineRule="auto"/>
        <w:jc w:val="center"/>
        <w:rPr>
          <w:rFonts w:ascii="Times New Roman" w:hAnsi="Times New Roman" w:cs="Times New Roman"/>
          <w:b/>
          <w:bCs/>
          <w:sz w:val="28"/>
          <w:szCs w:val="28"/>
        </w:rPr>
      </w:pPr>
      <w:r w:rsidRPr="001D27E3">
        <w:rPr>
          <w:rFonts w:ascii="Times New Roman" w:hAnsi="Times New Roman" w:cs="Times New Roman"/>
          <w:b/>
          <w:bCs/>
          <w:sz w:val="28"/>
          <w:szCs w:val="28"/>
        </w:rPr>
        <w:t>виконавчого комітету Боярської міської ради</w:t>
      </w:r>
    </w:p>
    <w:p w:rsidR="001D27E3" w:rsidRPr="001D27E3" w:rsidRDefault="001D27E3" w:rsidP="001D27E3">
      <w:pPr>
        <w:rPr>
          <w:rFonts w:ascii="Times New Roman" w:hAnsi="Times New Roman" w:cs="Times New Roman"/>
          <w:b/>
          <w:bCs/>
          <w:sz w:val="28"/>
          <w:szCs w:val="28"/>
        </w:rPr>
      </w:pPr>
      <w:r w:rsidRPr="001D27E3">
        <w:rPr>
          <w:rFonts w:ascii="Times New Roman" w:hAnsi="Times New Roman" w:cs="Times New Roman"/>
          <w:b/>
          <w:bCs/>
          <w:sz w:val="28"/>
          <w:szCs w:val="28"/>
        </w:rPr>
        <w:t> </w:t>
      </w:r>
    </w:p>
    <w:tbl>
      <w:tblPr>
        <w:tblW w:w="10907" w:type="dxa"/>
        <w:shd w:val="clear" w:color="auto" w:fill="FFFFFF"/>
        <w:tblCellMar>
          <w:left w:w="0" w:type="dxa"/>
          <w:right w:w="0" w:type="dxa"/>
        </w:tblCellMar>
        <w:tblLook w:val="04A0"/>
      </w:tblPr>
      <w:tblGrid>
        <w:gridCol w:w="608"/>
        <w:gridCol w:w="3630"/>
        <w:gridCol w:w="6669"/>
      </w:tblGrid>
      <w:tr w:rsidR="001D27E3" w:rsidRPr="001D27E3" w:rsidTr="001D27E3">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jc w:val="center"/>
              <w:rPr>
                <w:rFonts w:ascii="Times New Roman" w:hAnsi="Times New Roman" w:cs="Times New Roman"/>
                <w:sz w:val="28"/>
                <w:szCs w:val="28"/>
              </w:rPr>
            </w:pPr>
            <w:bookmarkStart w:id="1" w:name="n14"/>
            <w:bookmarkEnd w:id="1"/>
            <w:r w:rsidRPr="001D27E3">
              <w:rPr>
                <w:rFonts w:ascii="Times New Roman" w:hAnsi="Times New Roman" w:cs="Times New Roman"/>
                <w:sz w:val="28"/>
                <w:szCs w:val="28"/>
              </w:rPr>
              <w:t>Інформація про суб’єкта надання адміністративної послуги</w:t>
            </w:r>
          </w:p>
          <w:p w:rsidR="001D27E3" w:rsidRPr="001D27E3" w:rsidRDefault="001D27E3" w:rsidP="001D27E3">
            <w:pPr>
              <w:jc w:val="center"/>
              <w:rPr>
                <w:rFonts w:ascii="Times New Roman" w:hAnsi="Times New Roman" w:cs="Times New Roman"/>
                <w:sz w:val="28"/>
                <w:szCs w:val="28"/>
              </w:rPr>
            </w:pPr>
            <w:r w:rsidRPr="001D27E3">
              <w:rPr>
                <w:rFonts w:ascii="Times New Roman" w:hAnsi="Times New Roman" w:cs="Times New Roman"/>
                <w:sz w:val="28"/>
                <w:szCs w:val="28"/>
              </w:rPr>
              <w:t>та/або центру надання адміністративних послуг</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Місцезнаходження</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вул. Грушевського М., 39, м. Боярка, Фастівський район, Київська обл., 08150   </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2</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Інформація щодо режиму роботи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8F3C35" w:rsidP="001D27E3">
            <w:pPr>
              <w:rPr>
                <w:rFonts w:ascii="Times New Roman" w:hAnsi="Times New Roman" w:cs="Times New Roman"/>
                <w:sz w:val="28"/>
                <w:szCs w:val="28"/>
              </w:rPr>
            </w:pPr>
            <w:r w:rsidRPr="00822C6C">
              <w:rPr>
                <w:rFonts w:ascii="Times New Roman" w:hAnsi="Times New Roman" w:cs="Times New Roman"/>
                <w:i/>
                <w:iCs/>
                <w:sz w:val="28"/>
                <w:szCs w:val="28"/>
              </w:rPr>
              <w:t>Понеділок</w:t>
            </w:r>
            <w:r>
              <w:rPr>
                <w:rFonts w:ascii="Times New Roman" w:hAnsi="Times New Roman" w:cs="Times New Roman"/>
                <w:i/>
                <w:iCs/>
                <w:sz w:val="28"/>
                <w:szCs w:val="28"/>
              </w:rPr>
              <w:t xml:space="preserve"> </w:t>
            </w:r>
            <w:r w:rsidRPr="00822C6C">
              <w:rPr>
                <w:rFonts w:ascii="Times New Roman" w:hAnsi="Times New Roman" w:cs="Times New Roman"/>
                <w:i/>
                <w:iCs/>
                <w:sz w:val="28"/>
                <w:szCs w:val="28"/>
              </w:rPr>
              <w:t>-</w:t>
            </w:r>
            <w:r>
              <w:rPr>
                <w:rFonts w:ascii="Times New Roman" w:hAnsi="Times New Roman" w:cs="Times New Roman"/>
                <w:i/>
                <w:iCs/>
                <w:sz w:val="28"/>
                <w:szCs w:val="28"/>
              </w:rPr>
              <w:t xml:space="preserve"> четвер</w:t>
            </w:r>
            <w:r w:rsidRPr="00822C6C">
              <w:rPr>
                <w:rFonts w:ascii="Times New Roman" w:hAnsi="Times New Roman" w:cs="Times New Roman"/>
                <w:i/>
                <w:iCs/>
                <w:sz w:val="28"/>
                <w:szCs w:val="28"/>
              </w:rPr>
              <w:t>: 08.30-1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.00-17.00 – видача результатів; </w:t>
            </w:r>
            <w:r>
              <w:rPr>
                <w:rFonts w:ascii="Times New Roman" w:hAnsi="Times New Roman" w:cs="Times New Roman"/>
                <w:i/>
                <w:iCs/>
                <w:sz w:val="28"/>
                <w:szCs w:val="28"/>
              </w:rPr>
              <w:t xml:space="preserve"> п’ятниця: </w:t>
            </w:r>
            <w:r w:rsidRPr="00822C6C">
              <w:rPr>
                <w:rFonts w:ascii="Times New Roman" w:hAnsi="Times New Roman" w:cs="Times New Roman"/>
                <w:i/>
                <w:iCs/>
                <w:sz w:val="28"/>
                <w:szCs w:val="28"/>
              </w:rPr>
              <w:t>08.30-1</w:t>
            </w:r>
            <w:r>
              <w:rPr>
                <w:rFonts w:ascii="Times New Roman" w:hAnsi="Times New Roman" w:cs="Times New Roman"/>
                <w:i/>
                <w:iCs/>
                <w:sz w:val="28"/>
                <w:szCs w:val="28"/>
              </w:rPr>
              <w:t>3</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3</w:t>
            </w:r>
            <w:r w:rsidRPr="00822C6C">
              <w:rPr>
                <w:rFonts w:ascii="Times New Roman" w:hAnsi="Times New Roman" w:cs="Times New Roman"/>
                <w:i/>
                <w:iCs/>
                <w:sz w:val="28"/>
                <w:szCs w:val="28"/>
              </w:rPr>
              <w:t>.00-1</w:t>
            </w:r>
            <w:r>
              <w:rPr>
                <w:rFonts w:ascii="Times New Roman" w:hAnsi="Times New Roman" w:cs="Times New Roman"/>
                <w:i/>
                <w:iCs/>
                <w:sz w:val="28"/>
                <w:szCs w:val="28"/>
              </w:rPr>
              <w:t>6</w:t>
            </w:r>
            <w:r w:rsidRPr="00822C6C">
              <w:rPr>
                <w:rFonts w:ascii="Times New Roman" w:hAnsi="Times New Roman" w:cs="Times New Roman"/>
                <w:i/>
                <w:iCs/>
                <w:sz w:val="28"/>
                <w:szCs w:val="28"/>
              </w:rPr>
              <w:t>.00 – видача результатів</w:t>
            </w:r>
            <w:r>
              <w:rPr>
                <w:rFonts w:ascii="Times New Roman" w:hAnsi="Times New Roman" w:cs="Times New Roman"/>
                <w:i/>
                <w:iCs/>
                <w:sz w:val="28"/>
                <w:szCs w:val="28"/>
              </w:rPr>
              <w:t>.</w:t>
            </w:r>
            <w:r w:rsidR="00056705">
              <w:rPr>
                <w:rFonts w:ascii="Times New Roman" w:hAnsi="Times New Roman" w:cs="Times New Roman"/>
                <w:i/>
                <w:iCs/>
                <w:sz w:val="28"/>
                <w:szCs w:val="28"/>
              </w:rPr>
              <w:t xml:space="preserve"> Субота, неділя – вихідний день. Без перерви на обід</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3</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Телефон/факс (довідки), адреса електронної пошти та веб-сайт</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067-204-09-80</w:t>
            </w:r>
            <w:r w:rsidR="008F3C35">
              <w:rPr>
                <w:rFonts w:ascii="Times New Roman" w:hAnsi="Times New Roman" w:cs="Times New Roman"/>
                <w:i/>
                <w:iCs/>
                <w:sz w:val="28"/>
                <w:szCs w:val="28"/>
              </w:rPr>
              <w:t xml:space="preserve"> (попередній запис)</w:t>
            </w:r>
          </w:p>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cnap@mistoboyarka.gov.ua</w:t>
            </w:r>
          </w:p>
        </w:tc>
      </w:tr>
      <w:tr w:rsidR="001D27E3" w:rsidRPr="001D27E3" w:rsidTr="001D27E3">
        <w:trPr>
          <w:trHeight w:val="390"/>
        </w:trPr>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Нормативні акти, якими регламентується надання адміністративної послуги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Закони України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714259" w:rsidRDefault="00714259" w:rsidP="00B4329B">
            <w:pPr>
              <w:jc w:val="both"/>
              <w:rPr>
                <w:rFonts w:ascii="Times New Roman" w:hAnsi="Times New Roman" w:cs="Times New Roman"/>
                <w:sz w:val="28"/>
                <w:szCs w:val="28"/>
              </w:rPr>
            </w:pPr>
            <w:r w:rsidRPr="00714259">
              <w:rPr>
                <w:rFonts w:ascii="Times New Roman" w:hAnsi="Times New Roman" w:cs="Times New Roman"/>
                <w:sz w:val="28"/>
                <w:szCs w:val="28"/>
              </w:rPr>
              <w:t xml:space="preserve">Закон України «Про державну реєстрацію речових прав на нерухоме майно та їх обтяжень»; </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5</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Акти Кабінету Міністрів України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D27E3" w:rsidRP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w:t>
            </w:r>
            <w:r w:rsidRPr="00714259">
              <w:rPr>
                <w:rFonts w:ascii="Times New Roman" w:hAnsi="Times New Roman" w:cs="Times New Roman"/>
                <w:sz w:val="28"/>
                <w:szCs w:val="28"/>
              </w:rPr>
              <w:lastRenderedPageBreak/>
              <w:t>воєнного стану» (зі змінами)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lastRenderedPageBreak/>
              <w:t>6</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Акти центральних органів виконавчої влади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1D27E3" w:rsidRPr="001D27E3" w:rsidTr="001D27E3">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Умови отримання адміністративної послуги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7</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Підстава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8D659D" w:rsidRDefault="008D659D" w:rsidP="007B7FA0">
            <w:pPr>
              <w:jc w:val="both"/>
              <w:rPr>
                <w:rFonts w:ascii="Times New Roman" w:hAnsi="Times New Roman" w:cs="Times New Roman"/>
                <w:sz w:val="28"/>
                <w:szCs w:val="28"/>
              </w:rPr>
            </w:pPr>
            <w:r w:rsidRPr="008D659D">
              <w:rPr>
                <w:rFonts w:ascii="Times New Roman" w:hAnsi="Times New Roman" w:cs="Times New Roman"/>
                <w:sz w:val="28"/>
                <w:szCs w:val="28"/>
              </w:rPr>
              <w:t>Заява заявника або уповноваженої особи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8</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Вичерпний перелік документів, необхідних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D659D" w:rsidRDefault="00B4329B" w:rsidP="008F3C35">
            <w:pPr>
              <w:jc w:val="both"/>
              <w:rPr>
                <w:rFonts w:ascii="Times New Roman" w:hAnsi="Times New Roman" w:cs="Times New Roman"/>
                <w:sz w:val="28"/>
                <w:szCs w:val="28"/>
              </w:rPr>
            </w:pPr>
            <w:bookmarkStart w:id="2" w:name="n550"/>
            <w:bookmarkEnd w:id="2"/>
            <w:r w:rsidRPr="008D659D">
              <w:rPr>
                <w:rFonts w:ascii="Times New Roman" w:hAnsi="Times New Roman" w:cs="Times New Roman"/>
                <w:sz w:val="28"/>
                <w:szCs w:val="28"/>
              </w:rPr>
              <w:t xml:space="preserve"> </w:t>
            </w:r>
            <w:r w:rsidR="008D659D" w:rsidRPr="008D659D">
              <w:rPr>
                <w:rFonts w:ascii="Times New Roman" w:hAnsi="Times New Roman" w:cs="Times New Roman"/>
                <w:sz w:val="28"/>
                <w:szCs w:val="28"/>
              </w:rPr>
              <w:t>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rsidR="001D27E3" w:rsidRPr="008D659D" w:rsidRDefault="008D659D" w:rsidP="008F3C35">
            <w:pPr>
              <w:jc w:val="both"/>
              <w:rPr>
                <w:rFonts w:ascii="Times New Roman" w:hAnsi="Times New Roman" w:cs="Times New Roman"/>
                <w:sz w:val="28"/>
                <w:szCs w:val="28"/>
              </w:rPr>
            </w:pPr>
            <w:r w:rsidRPr="008D659D">
              <w:rPr>
                <w:rFonts w:ascii="Times New Roman" w:hAnsi="Times New Roman" w:cs="Times New Roman"/>
                <w:sz w:val="28"/>
                <w:szCs w:val="28"/>
              </w:rPr>
              <w:t xml:space="preserve"> документи,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9</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8D659D" w:rsidRDefault="008D659D" w:rsidP="008F3C35">
            <w:pPr>
              <w:jc w:val="both"/>
              <w:rPr>
                <w:rFonts w:ascii="Times New Roman" w:hAnsi="Times New Roman" w:cs="Times New Roman"/>
                <w:sz w:val="28"/>
                <w:szCs w:val="28"/>
              </w:rPr>
            </w:pPr>
            <w:r w:rsidRPr="008D659D">
              <w:rPr>
                <w:rFonts w:ascii="Times New Roman" w:hAnsi="Times New Roman" w:cs="Times New Roman"/>
                <w:sz w:val="28"/>
                <w:szCs w:val="28"/>
              </w:rPr>
              <w:t>У паперовій формі – заявником або уповноваженою особою</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10</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Платність (безоплатність)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714259" w:rsidRDefault="00714259" w:rsidP="00B4329B">
            <w:pPr>
              <w:jc w:val="both"/>
              <w:rPr>
                <w:rFonts w:ascii="Times New Roman" w:hAnsi="Times New Roman" w:cs="Times New Roman"/>
                <w:sz w:val="28"/>
                <w:szCs w:val="28"/>
              </w:rPr>
            </w:pPr>
            <w:r w:rsidRPr="00714259">
              <w:rPr>
                <w:rFonts w:ascii="Times New Roman" w:hAnsi="Times New Roman" w:cs="Times New Roman"/>
                <w:sz w:val="28"/>
                <w:szCs w:val="28"/>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11</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Строк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В день реєстрації заяви в Державному реєстрі речових прав на нерухоме майно</w:t>
            </w:r>
          </w:p>
        </w:tc>
      </w:tr>
      <w:tr w:rsidR="00B4329B" w:rsidRPr="001D27E3" w:rsidTr="007A6B7C">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1D27E3" w:rsidRDefault="00B4329B" w:rsidP="001D27E3">
            <w:pPr>
              <w:rPr>
                <w:rFonts w:ascii="Times New Roman" w:hAnsi="Times New Roman" w:cs="Times New Roman"/>
                <w:sz w:val="28"/>
                <w:szCs w:val="28"/>
              </w:rPr>
            </w:pPr>
            <w:r>
              <w:rPr>
                <w:rFonts w:ascii="Times New Roman" w:hAnsi="Times New Roman" w:cs="Times New Roman"/>
                <w:sz w:val="28"/>
                <w:szCs w:val="28"/>
              </w:rPr>
              <w:lastRenderedPageBreak/>
              <w:t>12</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hideMark/>
          </w:tcPr>
          <w:p w:rsidR="00B4329B" w:rsidRPr="00B4329B" w:rsidRDefault="00B4329B" w:rsidP="00B4329B">
            <w:pPr>
              <w:jc w:val="both"/>
              <w:rPr>
                <w:rFonts w:ascii="Times New Roman" w:hAnsi="Times New Roman" w:cs="Times New Roman"/>
                <w:sz w:val="28"/>
                <w:szCs w:val="28"/>
              </w:rPr>
            </w:pPr>
            <w:r w:rsidRPr="00B4329B">
              <w:rPr>
                <w:rFonts w:ascii="Times New Roman" w:hAnsi="Times New Roman" w:cs="Times New Roman"/>
                <w:sz w:val="28"/>
                <w:szCs w:val="28"/>
              </w:rPr>
              <w:t xml:space="preserve">Перелік підстав для зупинення розгляду документів, поданих для державної реєстрації </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hideMark/>
          </w:tcPr>
          <w:p w:rsidR="00F468B6" w:rsidRDefault="00F468B6" w:rsidP="00B4329B">
            <w:pPr>
              <w:jc w:val="both"/>
              <w:rPr>
                <w:rFonts w:ascii="Times New Roman" w:hAnsi="Times New Roman" w:cs="Times New Roman"/>
                <w:sz w:val="28"/>
                <w:szCs w:val="28"/>
              </w:rPr>
            </w:pPr>
            <w:r w:rsidRPr="00F468B6">
              <w:rPr>
                <w:rFonts w:ascii="Times New Roman" w:hAnsi="Times New Roman" w:cs="Times New Roman"/>
                <w:sz w:val="28"/>
                <w:szCs w:val="28"/>
              </w:rPr>
              <w:t xml:space="preserve">1) подання документів для державної реєстрації обтяження речового права на нерухоме майно не в повному обсязі, передбаченому законодавством; </w:t>
            </w:r>
          </w:p>
          <w:p w:rsidR="00F468B6" w:rsidRDefault="00F468B6" w:rsidP="00B4329B">
            <w:pPr>
              <w:jc w:val="both"/>
              <w:rPr>
                <w:rFonts w:ascii="Times New Roman" w:hAnsi="Times New Roman" w:cs="Times New Roman"/>
                <w:sz w:val="28"/>
                <w:szCs w:val="28"/>
              </w:rPr>
            </w:pPr>
            <w:r w:rsidRPr="00F468B6">
              <w:rPr>
                <w:rFonts w:ascii="Times New Roman" w:hAnsi="Times New Roman" w:cs="Times New Roman"/>
                <w:sz w:val="28"/>
                <w:szCs w:val="28"/>
              </w:rPr>
              <w:t xml:space="preserve">2) неподання заявником чи неотримання державним реєстратором у порядку, визначеному у пункті 3 частини третьої статті 10 Закону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 </w:t>
            </w:r>
          </w:p>
          <w:p w:rsidR="00B4329B" w:rsidRPr="00F468B6" w:rsidRDefault="00F468B6" w:rsidP="00B4329B">
            <w:pPr>
              <w:jc w:val="both"/>
              <w:rPr>
                <w:rFonts w:ascii="Times New Roman" w:hAnsi="Times New Roman" w:cs="Times New Roman"/>
                <w:sz w:val="28"/>
                <w:szCs w:val="28"/>
              </w:rPr>
            </w:pPr>
            <w:r w:rsidRPr="00F468B6">
              <w:rPr>
                <w:rFonts w:ascii="Times New Roman" w:hAnsi="Times New Roman" w:cs="Times New Roman"/>
                <w:sz w:val="28"/>
                <w:szCs w:val="28"/>
              </w:rPr>
              <w:t>3) направлення запиту до суду для отримання копії судового рішення</w:t>
            </w:r>
          </w:p>
        </w:tc>
      </w:tr>
      <w:tr w:rsidR="00B4329B"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1D27E3" w:rsidRDefault="00B4329B" w:rsidP="00B4329B">
            <w:pPr>
              <w:rPr>
                <w:rFonts w:ascii="Times New Roman" w:hAnsi="Times New Roman" w:cs="Times New Roman"/>
                <w:sz w:val="28"/>
                <w:szCs w:val="28"/>
              </w:rPr>
            </w:pPr>
            <w:r>
              <w:rPr>
                <w:rFonts w:ascii="Times New Roman" w:hAnsi="Times New Roman" w:cs="Times New Roman"/>
                <w:sz w:val="28"/>
                <w:szCs w:val="28"/>
              </w:rPr>
              <w:t>13</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B4329B" w:rsidRDefault="00B4329B" w:rsidP="001D27E3">
            <w:pPr>
              <w:rPr>
                <w:rFonts w:ascii="Times New Roman" w:hAnsi="Times New Roman" w:cs="Times New Roman"/>
                <w:sz w:val="28"/>
                <w:szCs w:val="28"/>
              </w:rPr>
            </w:pPr>
            <w:r w:rsidRPr="00B4329B">
              <w:rPr>
                <w:rFonts w:ascii="Times New Roman" w:hAnsi="Times New Roman" w:cs="Times New Roman"/>
                <w:sz w:val="28"/>
                <w:szCs w:val="28"/>
              </w:rPr>
              <w:t>Перелік підстав для відмови у державній реєстрації</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2) заява про державну реєстрацію прав подана неналежною особою;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4) подані документи не дають змоги встановити набуття, зміну або припинення речових прав на нерухоме майно та їх обтяження;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5) наявні суперечності між заявленими та вже зареєстрованими речовими правами на нерухоме майно та їх обтяженнями;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6) наявні зареєстровані обтяження ре</w:t>
            </w:r>
            <w:r>
              <w:rPr>
                <w:rFonts w:ascii="Times New Roman" w:hAnsi="Times New Roman" w:cs="Times New Roman"/>
                <w:sz w:val="28"/>
                <w:szCs w:val="28"/>
              </w:rPr>
              <w:t xml:space="preserve">чових прав на нерухоме майно;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7) заяву про державну реєстрацію обтяжень щодо попереднього </w:t>
            </w:r>
            <w:proofErr w:type="spellStart"/>
            <w:r w:rsidRPr="00F468B6">
              <w:rPr>
                <w:rFonts w:ascii="Times New Roman" w:hAnsi="Times New Roman" w:cs="Times New Roman"/>
                <w:sz w:val="28"/>
                <w:szCs w:val="28"/>
              </w:rPr>
              <w:t>правонабувача</w:t>
            </w:r>
            <w:proofErr w:type="spellEnd"/>
            <w:r w:rsidRPr="00F468B6">
              <w:rPr>
                <w:rFonts w:ascii="Times New Roman" w:hAnsi="Times New Roman" w:cs="Times New Roman"/>
                <w:sz w:val="28"/>
                <w:szCs w:val="28"/>
              </w:rPr>
              <w:t xml:space="preserve"> подано після державної реєстрації права власності на таке майно за новим </w:t>
            </w:r>
            <w:proofErr w:type="spellStart"/>
            <w:r w:rsidRPr="00F468B6">
              <w:rPr>
                <w:rFonts w:ascii="Times New Roman" w:hAnsi="Times New Roman" w:cs="Times New Roman"/>
                <w:sz w:val="28"/>
                <w:szCs w:val="28"/>
              </w:rPr>
              <w:t>правонабувачем</w:t>
            </w:r>
            <w:proofErr w:type="spellEnd"/>
            <w:r w:rsidRPr="00F468B6">
              <w:rPr>
                <w:rFonts w:ascii="Times New Roman" w:hAnsi="Times New Roman" w:cs="Times New Roman"/>
                <w:sz w:val="28"/>
                <w:szCs w:val="28"/>
              </w:rPr>
              <w:t xml:space="preserve">;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lastRenderedPageBreak/>
              <w:t xml:space="preserve">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 xml:space="preserve">9) документи подано до неналежного суб’єкта державної реєстрації прав, нотаріуса; </w:t>
            </w:r>
          </w:p>
          <w:p w:rsidR="00B4329B" w:rsidRPr="00F468B6" w:rsidRDefault="00F468B6" w:rsidP="008F3C35">
            <w:pPr>
              <w:jc w:val="both"/>
              <w:rPr>
                <w:rFonts w:ascii="Times New Roman" w:hAnsi="Times New Roman" w:cs="Times New Roman"/>
                <w:sz w:val="28"/>
                <w:szCs w:val="28"/>
              </w:rPr>
            </w:pPr>
            <w:r w:rsidRPr="00F468B6">
              <w:rPr>
                <w:rFonts w:ascii="Times New Roman" w:hAnsi="Times New Roman" w:cs="Times New Roman"/>
                <w:sz w:val="28"/>
                <w:szCs w:val="28"/>
              </w:rPr>
              <w:t>10) заявником подано ті самі документи, на підставі яких заявлене обтяження вже зареєстровано у Державному реєстрі речових прав на нерухоме майно</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B4329B">
            <w:pPr>
              <w:rPr>
                <w:rFonts w:ascii="Times New Roman" w:hAnsi="Times New Roman" w:cs="Times New Roman"/>
                <w:sz w:val="28"/>
                <w:szCs w:val="28"/>
              </w:rPr>
            </w:pPr>
            <w:r w:rsidRPr="001D27E3">
              <w:rPr>
                <w:rFonts w:ascii="Times New Roman" w:hAnsi="Times New Roman" w:cs="Times New Roman"/>
                <w:sz w:val="28"/>
                <w:szCs w:val="28"/>
              </w:rPr>
              <w:lastRenderedPageBreak/>
              <w:t>1</w:t>
            </w:r>
            <w:r w:rsidR="00B4329B">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Результат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F468B6" w:rsidRPr="00F468B6" w:rsidRDefault="00F468B6" w:rsidP="006969FB">
            <w:pPr>
              <w:jc w:val="both"/>
              <w:rPr>
                <w:rFonts w:ascii="Times New Roman" w:hAnsi="Times New Roman" w:cs="Times New Roman"/>
                <w:sz w:val="28"/>
                <w:szCs w:val="28"/>
              </w:rPr>
            </w:pPr>
            <w:bookmarkStart w:id="3" w:name="o638"/>
            <w:bookmarkEnd w:id="3"/>
            <w:r w:rsidRPr="00F468B6">
              <w:rPr>
                <w:rFonts w:ascii="Times New Roman" w:hAnsi="Times New Roman" w:cs="Times New Roman"/>
                <w:sz w:val="28"/>
                <w:szCs w:val="28"/>
              </w:rPr>
              <w:t xml:space="preserve">1) прийняття рішення про державну реєстрацію прав; внесення до відкритого розділу або спеціального розділу Державного реєстру речових прав на нерухоме майно відповідних відомостей про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w:t>
            </w:r>
          </w:p>
          <w:p w:rsidR="001D27E3" w:rsidRPr="00C15B78" w:rsidRDefault="00F468B6" w:rsidP="006969FB">
            <w:pPr>
              <w:jc w:val="both"/>
              <w:rPr>
                <w:rFonts w:ascii="Times New Roman" w:hAnsi="Times New Roman" w:cs="Times New Roman"/>
                <w:sz w:val="28"/>
                <w:szCs w:val="28"/>
              </w:rPr>
            </w:pPr>
            <w:r w:rsidRPr="00F468B6">
              <w:rPr>
                <w:rFonts w:ascii="Times New Roman" w:hAnsi="Times New Roman" w:cs="Times New Roman"/>
                <w:sz w:val="28"/>
                <w:szCs w:val="28"/>
              </w:rPr>
              <w:t>2) рішення про відмову у державній реєстрації із зазначенням виключного переліку обставин, що стали підставою для його прийняття</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607721" w:rsidP="006969FB">
            <w:pPr>
              <w:rPr>
                <w:rFonts w:ascii="Times New Roman" w:hAnsi="Times New Roman" w:cs="Times New Roman"/>
                <w:sz w:val="28"/>
                <w:szCs w:val="28"/>
              </w:rPr>
            </w:pPr>
            <w:r>
              <w:rPr>
                <w:rFonts w:ascii="Times New Roman" w:hAnsi="Times New Roman" w:cs="Times New Roman"/>
                <w:sz w:val="28"/>
                <w:szCs w:val="28"/>
              </w:rPr>
              <w:t>15</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Способи отримання відповіді (результату)</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C15B78" w:rsidRDefault="00C15B78" w:rsidP="006969FB">
            <w:pPr>
              <w:jc w:val="both"/>
              <w:rPr>
                <w:rFonts w:ascii="Times New Roman" w:hAnsi="Times New Roman" w:cs="Times New Roman"/>
                <w:sz w:val="28"/>
                <w:szCs w:val="28"/>
              </w:rPr>
            </w:pPr>
            <w:r w:rsidRPr="00C15B78">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roofErr w:type="spellStart"/>
            <w:r w:rsidRPr="00C15B78">
              <w:rPr>
                <w:rFonts w:ascii="Times New Roman" w:hAnsi="Times New Roman" w:cs="Times New Roman"/>
                <w:sz w:val="28"/>
                <w:szCs w:val="28"/>
              </w:rPr>
              <w:t>вебпортал</w:t>
            </w:r>
            <w:proofErr w:type="spellEnd"/>
            <w:r w:rsidRPr="00C15B78">
              <w:rPr>
                <w:rFonts w:ascii="Times New Roman" w:hAnsi="Times New Roman" w:cs="Times New Roman"/>
                <w:sz w:val="28"/>
                <w:szCs w:val="28"/>
              </w:rPr>
              <w:t xml:space="preserve"> Мін’юсту*</w:t>
            </w:r>
          </w:p>
        </w:tc>
      </w:tr>
    </w:tbl>
    <w:p w:rsidR="005D523F" w:rsidRPr="001D27E3" w:rsidRDefault="00607721" w:rsidP="00607721">
      <w:bookmarkStart w:id="4" w:name="n43"/>
      <w:bookmarkEnd w:id="4"/>
      <w:r>
        <w:t>*Після доопрацювання порталу електронних сервісів, який буде забезпечувати можливість подання таких документів в електронній формі</w:t>
      </w:r>
    </w:p>
    <w:sectPr w:rsidR="005D523F" w:rsidRPr="001D27E3" w:rsidSect="007B080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800"/>
    <w:rsid w:val="00056705"/>
    <w:rsid w:val="000678D6"/>
    <w:rsid w:val="00090E09"/>
    <w:rsid w:val="00134581"/>
    <w:rsid w:val="00164F69"/>
    <w:rsid w:val="001D27E3"/>
    <w:rsid w:val="00225591"/>
    <w:rsid w:val="003A0139"/>
    <w:rsid w:val="003E5BF5"/>
    <w:rsid w:val="00493370"/>
    <w:rsid w:val="005D523F"/>
    <w:rsid w:val="00607721"/>
    <w:rsid w:val="00642878"/>
    <w:rsid w:val="006969FB"/>
    <w:rsid w:val="00713969"/>
    <w:rsid w:val="00713F5B"/>
    <w:rsid w:val="00714259"/>
    <w:rsid w:val="007B0800"/>
    <w:rsid w:val="007B7FA0"/>
    <w:rsid w:val="00822C6C"/>
    <w:rsid w:val="00875A9C"/>
    <w:rsid w:val="008A2AE8"/>
    <w:rsid w:val="008D659D"/>
    <w:rsid w:val="008F3C35"/>
    <w:rsid w:val="00A2406E"/>
    <w:rsid w:val="00A33A08"/>
    <w:rsid w:val="00AC3DB2"/>
    <w:rsid w:val="00AE425B"/>
    <w:rsid w:val="00B4329B"/>
    <w:rsid w:val="00C15B78"/>
    <w:rsid w:val="00C3534A"/>
    <w:rsid w:val="00C66038"/>
    <w:rsid w:val="00DA176C"/>
    <w:rsid w:val="00EE451E"/>
    <w:rsid w:val="00F468B6"/>
    <w:rsid w:val="00F57D5E"/>
    <w:rsid w:val="00FC2D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038"/>
    <w:rPr>
      <w:color w:val="0563C1" w:themeColor="hyperlink"/>
      <w:u w:val="single"/>
    </w:rPr>
  </w:style>
  <w:style w:type="character" w:customStyle="1" w:styleId="UnresolvedMention">
    <w:name w:val="Unresolved Mention"/>
    <w:basedOn w:val="a0"/>
    <w:uiPriority w:val="99"/>
    <w:semiHidden/>
    <w:unhideWhenUsed/>
    <w:rsid w:val="00C66038"/>
    <w:rPr>
      <w:color w:val="605E5C"/>
      <w:shd w:val="clear" w:color="auto" w:fill="E1DFDD"/>
    </w:rPr>
  </w:style>
  <w:style w:type="paragraph" w:styleId="a4">
    <w:name w:val="List Paragraph"/>
    <w:basedOn w:val="a"/>
    <w:uiPriority w:val="34"/>
    <w:qFormat/>
    <w:rsid w:val="00C15B78"/>
    <w:pPr>
      <w:ind w:left="720"/>
      <w:contextualSpacing/>
    </w:pPr>
  </w:style>
</w:styles>
</file>

<file path=word/webSettings.xml><?xml version="1.0" encoding="utf-8"?>
<w:webSettings xmlns:r="http://schemas.openxmlformats.org/officeDocument/2006/relationships" xmlns:w="http://schemas.openxmlformats.org/wordprocessingml/2006/main">
  <w:divs>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714089459">
      <w:bodyDiv w:val="1"/>
      <w:marLeft w:val="0"/>
      <w:marRight w:val="0"/>
      <w:marTop w:val="0"/>
      <w:marBottom w:val="0"/>
      <w:divBdr>
        <w:top w:val="none" w:sz="0" w:space="0" w:color="auto"/>
        <w:left w:val="none" w:sz="0" w:space="0" w:color="auto"/>
        <w:bottom w:val="none" w:sz="0" w:space="0" w:color="auto"/>
        <w:right w:val="none" w:sz="0" w:space="0" w:color="auto"/>
      </w:divBdr>
    </w:div>
    <w:div w:id="735126559">
      <w:bodyDiv w:val="1"/>
      <w:marLeft w:val="0"/>
      <w:marRight w:val="0"/>
      <w:marTop w:val="0"/>
      <w:marBottom w:val="0"/>
      <w:divBdr>
        <w:top w:val="none" w:sz="0" w:space="0" w:color="auto"/>
        <w:left w:val="none" w:sz="0" w:space="0" w:color="auto"/>
        <w:bottom w:val="none" w:sz="0" w:space="0" w:color="auto"/>
        <w:right w:val="none" w:sz="0" w:space="0" w:color="auto"/>
      </w:divBdr>
    </w:div>
    <w:div w:id="794757723">
      <w:bodyDiv w:val="1"/>
      <w:marLeft w:val="0"/>
      <w:marRight w:val="0"/>
      <w:marTop w:val="0"/>
      <w:marBottom w:val="0"/>
      <w:divBdr>
        <w:top w:val="none" w:sz="0" w:space="0" w:color="auto"/>
        <w:left w:val="none" w:sz="0" w:space="0" w:color="auto"/>
        <w:bottom w:val="none" w:sz="0" w:space="0" w:color="auto"/>
        <w:right w:val="none" w:sz="0" w:space="0" w:color="auto"/>
      </w:divBdr>
    </w:div>
    <w:div w:id="1167135637">
      <w:bodyDiv w:val="1"/>
      <w:marLeft w:val="0"/>
      <w:marRight w:val="0"/>
      <w:marTop w:val="0"/>
      <w:marBottom w:val="0"/>
      <w:divBdr>
        <w:top w:val="none" w:sz="0" w:space="0" w:color="auto"/>
        <w:left w:val="none" w:sz="0" w:space="0" w:color="auto"/>
        <w:bottom w:val="none" w:sz="0" w:space="0" w:color="auto"/>
        <w:right w:val="none" w:sz="0" w:space="0" w:color="auto"/>
      </w:divBdr>
    </w:div>
    <w:div w:id="1316453040">
      <w:bodyDiv w:val="1"/>
      <w:marLeft w:val="0"/>
      <w:marRight w:val="0"/>
      <w:marTop w:val="0"/>
      <w:marBottom w:val="0"/>
      <w:divBdr>
        <w:top w:val="none" w:sz="0" w:space="0" w:color="auto"/>
        <w:left w:val="none" w:sz="0" w:space="0" w:color="auto"/>
        <w:bottom w:val="none" w:sz="0" w:space="0" w:color="auto"/>
        <w:right w:val="none" w:sz="0" w:space="0" w:color="auto"/>
      </w:divBdr>
    </w:div>
    <w:div w:id="1474106250">
      <w:bodyDiv w:val="1"/>
      <w:marLeft w:val="0"/>
      <w:marRight w:val="0"/>
      <w:marTop w:val="0"/>
      <w:marBottom w:val="0"/>
      <w:divBdr>
        <w:top w:val="none" w:sz="0" w:space="0" w:color="auto"/>
        <w:left w:val="none" w:sz="0" w:space="0" w:color="auto"/>
        <w:bottom w:val="none" w:sz="0" w:space="0" w:color="auto"/>
        <w:right w:val="none" w:sz="0" w:space="0" w:color="auto"/>
      </w:divBdr>
    </w:div>
    <w:div w:id="1486627981">
      <w:bodyDiv w:val="1"/>
      <w:marLeft w:val="0"/>
      <w:marRight w:val="0"/>
      <w:marTop w:val="0"/>
      <w:marBottom w:val="0"/>
      <w:divBdr>
        <w:top w:val="none" w:sz="0" w:space="0" w:color="auto"/>
        <w:left w:val="none" w:sz="0" w:space="0" w:color="auto"/>
        <w:bottom w:val="none" w:sz="0" w:space="0" w:color="auto"/>
        <w:right w:val="none" w:sz="0" w:space="0" w:color="auto"/>
      </w:divBdr>
    </w:div>
    <w:div w:id="2073037909">
      <w:bodyDiv w:val="1"/>
      <w:marLeft w:val="0"/>
      <w:marRight w:val="0"/>
      <w:marTop w:val="0"/>
      <w:marBottom w:val="0"/>
      <w:divBdr>
        <w:top w:val="none" w:sz="0" w:space="0" w:color="auto"/>
        <w:left w:val="none" w:sz="0" w:space="0" w:color="auto"/>
        <w:bottom w:val="none" w:sz="0" w:space="0" w:color="auto"/>
        <w:right w:val="none" w:sz="0" w:space="0" w:color="auto"/>
      </w:divBdr>
    </w:div>
    <w:div w:id="21034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3838</Words>
  <Characters>2188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14</cp:lastModifiedBy>
  <cp:revision>14</cp:revision>
  <dcterms:created xsi:type="dcterms:W3CDTF">2024-12-09T14:54:00Z</dcterms:created>
  <dcterms:modified xsi:type="dcterms:W3CDTF">2024-12-27T10:38:00Z</dcterms:modified>
</cp:coreProperties>
</file>