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EA" w:rsidRDefault="003E1BEA" w:rsidP="003E1BEA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val="ru-RU" w:eastAsia="uk-UA"/>
        </w:rPr>
        <w:t xml:space="preserve">  </w:t>
      </w:r>
      <w:r>
        <w:rPr>
          <w:sz w:val="24"/>
          <w:szCs w:val="24"/>
          <w:lang w:eastAsia="uk-UA"/>
        </w:rPr>
        <w:t>ЗАТВЕРДЖЕНО</w:t>
      </w:r>
    </w:p>
    <w:p w:rsidR="003E1BEA" w:rsidRDefault="003E1BEA" w:rsidP="003E1BEA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Наказ Міністерства соціальної </w:t>
      </w:r>
    </w:p>
    <w:p w:rsidR="000F4AC7" w:rsidRDefault="003E1BEA" w:rsidP="000F4AC7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політики  України </w:t>
      </w:r>
    </w:p>
    <w:p w:rsidR="006F67B6" w:rsidRPr="000F4AC7" w:rsidRDefault="000F4AC7" w:rsidP="000F4AC7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="00A46861" w:rsidRPr="00D774D1">
        <w:rPr>
          <w:sz w:val="24"/>
          <w:szCs w:val="24"/>
          <w:u w:val="single"/>
          <w:lang w:eastAsia="uk-UA"/>
        </w:rPr>
        <w:t>14.01.2025</w:t>
      </w:r>
      <w:r w:rsidR="00A46861">
        <w:rPr>
          <w:sz w:val="24"/>
          <w:szCs w:val="24"/>
          <w:lang w:eastAsia="uk-UA"/>
        </w:rPr>
        <w:t xml:space="preserve"> № </w:t>
      </w:r>
      <w:r w:rsidR="00A46861" w:rsidRPr="00D774D1">
        <w:rPr>
          <w:sz w:val="24"/>
          <w:szCs w:val="24"/>
          <w:u w:val="single"/>
          <w:lang w:eastAsia="uk-UA"/>
        </w:rPr>
        <w:t>10-Н</w:t>
      </w:r>
    </w:p>
    <w:p w:rsidR="003E1BEA" w:rsidRDefault="003E1BEA" w:rsidP="003E1BEA">
      <w:pPr>
        <w:ind w:left="6521"/>
        <w:jc w:val="left"/>
        <w:rPr>
          <w:b/>
          <w:sz w:val="26"/>
          <w:szCs w:val="26"/>
          <w:lang w:eastAsia="uk-UA"/>
        </w:rPr>
      </w:pPr>
    </w:p>
    <w:p w:rsidR="00A76D0B" w:rsidRPr="00E36232" w:rsidRDefault="00A76D0B" w:rsidP="00CC122F">
      <w:pPr>
        <w:jc w:val="center"/>
        <w:rPr>
          <w:b/>
          <w:sz w:val="24"/>
          <w:szCs w:val="24"/>
          <w:lang w:eastAsia="uk-UA"/>
        </w:rPr>
      </w:pPr>
    </w:p>
    <w:p w:rsidR="00A76D0B" w:rsidRPr="00E36232" w:rsidRDefault="00A76D0B" w:rsidP="00CC122F">
      <w:pPr>
        <w:jc w:val="center"/>
        <w:rPr>
          <w:b/>
          <w:sz w:val="24"/>
          <w:szCs w:val="24"/>
          <w:lang w:eastAsia="uk-UA"/>
        </w:rPr>
      </w:pPr>
    </w:p>
    <w:p w:rsidR="00CC122F" w:rsidRPr="00E3623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36232">
        <w:rPr>
          <w:b/>
          <w:sz w:val="24"/>
          <w:szCs w:val="24"/>
          <w:lang w:eastAsia="uk-UA"/>
        </w:rPr>
        <w:t xml:space="preserve">ІНФОРМАЦІЙНА КАРТКА </w:t>
      </w:r>
    </w:p>
    <w:p w:rsidR="00B9400F" w:rsidRPr="00E36232" w:rsidRDefault="00EA36D5" w:rsidP="0098356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36232">
        <w:rPr>
          <w:b/>
          <w:sz w:val="24"/>
          <w:szCs w:val="24"/>
          <w:lang w:eastAsia="uk-UA"/>
        </w:rPr>
        <w:t>а</w:t>
      </w:r>
      <w:r w:rsidR="00CC122F" w:rsidRPr="00E36232">
        <w:rPr>
          <w:b/>
          <w:sz w:val="24"/>
          <w:szCs w:val="24"/>
          <w:lang w:eastAsia="uk-UA"/>
        </w:rPr>
        <w:t>дміністративн</w:t>
      </w:r>
      <w:r w:rsidRPr="00E36232">
        <w:rPr>
          <w:b/>
          <w:sz w:val="24"/>
          <w:szCs w:val="24"/>
          <w:lang w:eastAsia="uk-UA"/>
        </w:rPr>
        <w:t>ої</w:t>
      </w:r>
      <w:r w:rsidR="004B0345" w:rsidRPr="00E36232">
        <w:rPr>
          <w:b/>
          <w:sz w:val="24"/>
          <w:szCs w:val="24"/>
          <w:lang w:eastAsia="uk-UA"/>
        </w:rPr>
        <w:t xml:space="preserve"> </w:t>
      </w:r>
      <w:r w:rsidR="00CC122F" w:rsidRPr="00E36232">
        <w:rPr>
          <w:b/>
          <w:sz w:val="24"/>
          <w:szCs w:val="24"/>
          <w:lang w:eastAsia="uk-UA"/>
        </w:rPr>
        <w:t>послуг</w:t>
      </w:r>
      <w:r w:rsidRPr="00E36232">
        <w:rPr>
          <w:b/>
          <w:sz w:val="24"/>
          <w:szCs w:val="24"/>
          <w:lang w:eastAsia="uk-UA"/>
        </w:rPr>
        <w:t xml:space="preserve">и </w:t>
      </w:r>
    </w:p>
    <w:p w:rsidR="00B9400F" w:rsidRDefault="00A76D0B" w:rsidP="00266F73">
      <w:pPr>
        <w:jc w:val="center"/>
        <w:rPr>
          <w:b/>
          <w:bCs/>
          <w:caps/>
          <w:sz w:val="24"/>
          <w:szCs w:val="24"/>
          <w:lang w:eastAsia="uk-UA"/>
        </w:rPr>
      </w:pPr>
      <w:r w:rsidRPr="00E36232">
        <w:rPr>
          <w:b/>
          <w:bCs/>
          <w:caps/>
          <w:sz w:val="24"/>
          <w:szCs w:val="24"/>
          <w:lang w:eastAsia="uk-UA"/>
        </w:rPr>
        <w:t>„</w:t>
      </w:r>
      <w:r w:rsidR="0094245B" w:rsidRPr="00E36232">
        <w:rPr>
          <w:b/>
          <w:bCs/>
          <w:caps/>
          <w:sz w:val="24"/>
          <w:szCs w:val="24"/>
          <w:lang w:eastAsia="uk-UA"/>
        </w:rPr>
        <w:t>ВЗЯТТЯ НА ОБЛІК ДЛЯ ЗАБЕЗПЕЧЕННЯ САНАТОРНО-КУРОРТНИМ</w:t>
      </w:r>
      <w:r w:rsidR="00A96AC6" w:rsidRPr="00E36232">
        <w:rPr>
          <w:b/>
          <w:bCs/>
          <w:caps/>
          <w:sz w:val="24"/>
          <w:szCs w:val="24"/>
          <w:lang w:eastAsia="uk-UA"/>
        </w:rPr>
        <w:t xml:space="preserve"> </w:t>
      </w:r>
      <w:r w:rsidR="0094245B" w:rsidRPr="00E36232">
        <w:rPr>
          <w:b/>
          <w:bCs/>
          <w:caps/>
          <w:sz w:val="24"/>
          <w:szCs w:val="24"/>
          <w:lang w:eastAsia="uk-UA"/>
        </w:rPr>
        <w:t>ЛІКУВАННЯМ</w:t>
      </w:r>
      <w:r w:rsidR="00444253" w:rsidRPr="00E36232">
        <w:rPr>
          <w:b/>
          <w:bCs/>
          <w:caps/>
          <w:sz w:val="24"/>
          <w:szCs w:val="24"/>
          <w:lang w:eastAsia="uk-UA"/>
        </w:rPr>
        <w:t xml:space="preserve"> (ПУТІВКАМИ)</w:t>
      </w:r>
      <w:r w:rsidRPr="00E36232">
        <w:rPr>
          <w:b/>
          <w:bCs/>
          <w:caps/>
          <w:sz w:val="24"/>
          <w:szCs w:val="24"/>
          <w:lang w:eastAsia="uk-UA"/>
        </w:rPr>
        <w:t xml:space="preserve"> </w:t>
      </w:r>
      <w:r w:rsidR="00266F73" w:rsidRPr="00E36232">
        <w:rPr>
          <w:b/>
          <w:bCs/>
          <w:caps/>
          <w:sz w:val="24"/>
          <w:szCs w:val="24"/>
          <w:lang w:eastAsia="uk-UA"/>
        </w:rPr>
        <w:t>ветеранів війни</w:t>
      </w:r>
      <w:r w:rsidR="00B9400F" w:rsidRPr="00E36232">
        <w:rPr>
          <w:b/>
          <w:bCs/>
          <w:caps/>
          <w:sz w:val="24"/>
          <w:szCs w:val="24"/>
          <w:lang w:eastAsia="uk-UA"/>
        </w:rPr>
        <w:t xml:space="preserve"> та </w:t>
      </w:r>
      <w:r w:rsidR="0094245B" w:rsidRPr="00E36232">
        <w:rPr>
          <w:b/>
          <w:bCs/>
          <w:caps/>
          <w:sz w:val="24"/>
          <w:szCs w:val="24"/>
          <w:lang w:eastAsia="uk-UA"/>
        </w:rPr>
        <w:t>осІб</w:t>
      </w:r>
      <w:r w:rsidR="00E36232">
        <w:rPr>
          <w:b/>
          <w:bCs/>
          <w:caps/>
          <w:sz w:val="24"/>
          <w:szCs w:val="24"/>
          <w:lang w:eastAsia="uk-UA"/>
        </w:rPr>
        <w:t>,</w:t>
      </w:r>
      <w:r w:rsidRPr="00E36232">
        <w:rPr>
          <w:b/>
          <w:bCs/>
          <w:caps/>
          <w:sz w:val="24"/>
          <w:szCs w:val="24"/>
          <w:lang w:eastAsia="uk-UA"/>
        </w:rPr>
        <w:t xml:space="preserve"> </w:t>
      </w:r>
      <w:r w:rsidR="00266F73" w:rsidRPr="00E36232">
        <w:rPr>
          <w:b/>
          <w:bCs/>
          <w:caps/>
          <w:sz w:val="24"/>
          <w:szCs w:val="24"/>
          <w:lang w:eastAsia="uk-UA"/>
        </w:rPr>
        <w:t>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</w:r>
    </w:p>
    <w:p w:rsidR="00EB67DA" w:rsidRDefault="00EB67DA" w:rsidP="00266F73">
      <w:pPr>
        <w:jc w:val="center"/>
        <w:rPr>
          <w:b/>
          <w:bCs/>
          <w:caps/>
          <w:sz w:val="24"/>
          <w:szCs w:val="24"/>
          <w:lang w:eastAsia="uk-UA"/>
        </w:rPr>
      </w:pPr>
      <w:r w:rsidRPr="00EB67DA">
        <w:rPr>
          <w:b/>
          <w:sz w:val="24"/>
          <w:szCs w:val="24"/>
          <w:shd w:val="clear" w:color="auto" w:fill="FFFFFF"/>
        </w:rPr>
        <w:t>УПРАВЛІННЯ СОЦІАЛЬНОЇ ТА ВЕТЕРАНСЬКОЇ ПОЛІТИКИ                  ФАСТІВСЬКОЇ РАЙОННОЇ ДЕРЖАВНОЇ АДМІНІСТРАЦІЇ</w:t>
      </w:r>
    </w:p>
    <w:p w:rsidR="00827F4F" w:rsidRPr="00E36232" w:rsidRDefault="00827F4F" w:rsidP="006D3299">
      <w:pPr>
        <w:jc w:val="center"/>
        <w:rPr>
          <w:sz w:val="20"/>
          <w:szCs w:val="20"/>
          <w:lang w:eastAsia="uk-UA"/>
        </w:rPr>
      </w:pPr>
      <w:r w:rsidRPr="00E36232">
        <w:rPr>
          <w:sz w:val="20"/>
          <w:szCs w:val="20"/>
          <w:lang w:eastAsia="uk-UA"/>
        </w:rPr>
        <w:t>_______________________________________________________________________________________________</w:t>
      </w:r>
    </w:p>
    <w:p w:rsidR="006D3299" w:rsidRDefault="006D3299" w:rsidP="00267899">
      <w:pPr>
        <w:jc w:val="center"/>
        <w:rPr>
          <w:sz w:val="20"/>
          <w:szCs w:val="20"/>
          <w:lang w:eastAsia="uk-UA"/>
        </w:rPr>
      </w:pPr>
      <w:r w:rsidRPr="00E36232">
        <w:rPr>
          <w:sz w:val="20"/>
          <w:szCs w:val="20"/>
          <w:lang w:eastAsia="uk-UA"/>
        </w:rPr>
        <w:t>(найменування суб’єкта надання адміністративної послуги</w:t>
      </w:r>
      <w:r w:rsidR="0057282B" w:rsidRPr="00E36232">
        <w:rPr>
          <w:sz w:val="20"/>
          <w:szCs w:val="20"/>
          <w:lang w:val="ru-RU" w:eastAsia="uk-UA"/>
        </w:rPr>
        <w:t xml:space="preserve"> та / або центру надання адміністративних послуг</w:t>
      </w:r>
      <w:r w:rsidRPr="00E36232">
        <w:rPr>
          <w:sz w:val="20"/>
          <w:szCs w:val="20"/>
          <w:lang w:eastAsia="uk-UA"/>
        </w:rPr>
        <w:t>)</w:t>
      </w:r>
    </w:p>
    <w:p w:rsidR="00267899" w:rsidRPr="00E36232" w:rsidRDefault="00267899" w:rsidP="00267899">
      <w:pPr>
        <w:jc w:val="center"/>
        <w:rPr>
          <w:sz w:val="20"/>
          <w:szCs w:val="20"/>
          <w:lang w:eastAsia="uk-UA"/>
        </w:rPr>
      </w:pP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9"/>
        <w:gridCol w:w="2994"/>
        <w:gridCol w:w="6236"/>
      </w:tblGrid>
      <w:tr w:rsidR="00E36232" w:rsidRPr="00E36232" w:rsidTr="00E3623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6D3299" w:rsidP="00827F4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E36232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E36232">
              <w:rPr>
                <w:b/>
                <w:sz w:val="24"/>
                <w:szCs w:val="24"/>
                <w:lang w:eastAsia="uk-UA"/>
              </w:rPr>
              <w:t xml:space="preserve">дання адміністративної послуги </w:t>
            </w:r>
            <w:r w:rsidR="0057282B" w:rsidRPr="00E36232">
              <w:rPr>
                <w:b/>
                <w:sz w:val="24"/>
                <w:szCs w:val="24"/>
                <w:lang w:eastAsia="uk-UA"/>
              </w:rPr>
              <w:t>та / або центр надання адміністративних послуг</w:t>
            </w:r>
          </w:p>
        </w:tc>
      </w:tr>
      <w:tr w:rsidR="00EB67DA" w:rsidRPr="00E36232" w:rsidTr="00986270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67DA" w:rsidRPr="00E36232" w:rsidRDefault="00EB67DA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67DA" w:rsidRPr="00E36232" w:rsidRDefault="00EB67DA" w:rsidP="00B26E40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B67DA" w:rsidRPr="00EB67DA" w:rsidRDefault="00EB67DA" w:rsidP="008516AA">
            <w:pPr>
              <w:spacing w:line="276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EB67DA">
                <w:rPr>
                  <w:sz w:val="24"/>
                  <w:szCs w:val="24"/>
                </w:rPr>
                <w:t>08500, м</w:t>
              </w:r>
            </w:smartTag>
            <w:r w:rsidRPr="00EB67DA">
              <w:rPr>
                <w:sz w:val="24"/>
                <w:szCs w:val="24"/>
              </w:rPr>
              <w:t xml:space="preserve">. Фастів, </w:t>
            </w:r>
          </w:p>
          <w:p w:rsidR="00EB67DA" w:rsidRPr="00EB67DA" w:rsidRDefault="00EB67DA" w:rsidP="008516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67DA">
              <w:rPr>
                <w:sz w:val="24"/>
                <w:szCs w:val="24"/>
              </w:rPr>
              <w:t xml:space="preserve">Київська обл., вул. Соборна,16 </w:t>
            </w:r>
          </w:p>
        </w:tc>
      </w:tr>
      <w:tr w:rsidR="00EB67DA" w:rsidRPr="00E36232" w:rsidTr="00986270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67DA" w:rsidRPr="00E36232" w:rsidRDefault="00EB67DA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67DA" w:rsidRPr="00E36232" w:rsidRDefault="00EB67DA" w:rsidP="00B26E40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B67DA" w:rsidRPr="00EB67DA" w:rsidRDefault="00EB67DA" w:rsidP="008516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67DA">
              <w:rPr>
                <w:sz w:val="24"/>
                <w:szCs w:val="24"/>
              </w:rPr>
              <w:t xml:space="preserve">Понеділок-четвер </w:t>
            </w:r>
          </w:p>
          <w:p w:rsidR="00EB67DA" w:rsidRPr="00EB67DA" w:rsidRDefault="00EB67DA" w:rsidP="008516AA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EB67DA">
              <w:rPr>
                <w:sz w:val="24"/>
                <w:szCs w:val="24"/>
              </w:rPr>
              <w:t xml:space="preserve">з 08.00 до 12.00 з 13.00 до 17.15 год </w:t>
            </w:r>
          </w:p>
          <w:p w:rsidR="00EB67DA" w:rsidRPr="00EB67DA" w:rsidRDefault="00EB67DA" w:rsidP="008516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67DA">
              <w:rPr>
                <w:sz w:val="24"/>
                <w:szCs w:val="24"/>
              </w:rPr>
              <w:t>П’ятниця</w:t>
            </w:r>
          </w:p>
          <w:p w:rsidR="00EB67DA" w:rsidRPr="00EB67DA" w:rsidRDefault="00EB67DA" w:rsidP="008516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67DA">
              <w:rPr>
                <w:sz w:val="24"/>
                <w:szCs w:val="24"/>
              </w:rPr>
              <w:t>з 08.00 до 12.00 з 13.00 до 16.00 год.</w:t>
            </w:r>
          </w:p>
        </w:tc>
      </w:tr>
      <w:tr w:rsidR="00EB67DA" w:rsidRPr="00E36232" w:rsidTr="00986270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67DA" w:rsidRPr="00E36232" w:rsidRDefault="00EB67DA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67DA" w:rsidRPr="00E36232" w:rsidRDefault="00EB67DA" w:rsidP="00C27C62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B67DA" w:rsidRPr="00EB67DA" w:rsidRDefault="00EB67DA" w:rsidP="008516AA">
            <w:pPr>
              <w:spacing w:line="276" w:lineRule="auto"/>
              <w:jc w:val="center"/>
              <w:rPr>
                <w:color w:val="1D1D1B"/>
                <w:sz w:val="24"/>
                <w:szCs w:val="24"/>
                <w:shd w:val="clear" w:color="auto" w:fill="FFFFFF"/>
              </w:rPr>
            </w:pPr>
            <w:r w:rsidRPr="00EB67DA">
              <w:rPr>
                <w:color w:val="1D1D1B"/>
                <w:sz w:val="24"/>
                <w:szCs w:val="24"/>
                <w:shd w:val="clear" w:color="auto" w:fill="FFFFFF"/>
              </w:rPr>
              <w:t>Телефон: (04565) 5-12-61</w:t>
            </w:r>
          </w:p>
          <w:p w:rsidR="00EB67DA" w:rsidRPr="00EB67DA" w:rsidRDefault="00EB67DA" w:rsidP="008516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67DA">
              <w:rPr>
                <w:rStyle w:val="ad"/>
                <w:b w:val="0"/>
                <w:sz w:val="24"/>
                <w:szCs w:val="24"/>
                <w:shd w:val="clear" w:color="auto" w:fill="FFFFFF"/>
              </w:rPr>
              <w:t>Електронна адреса:</w:t>
            </w:r>
            <w:r w:rsidRPr="00EB67DA">
              <w:rPr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EB67DA">
                <w:rPr>
                  <w:rStyle w:val="ac"/>
                  <w:sz w:val="24"/>
                  <w:szCs w:val="24"/>
                </w:rPr>
                <w:t>03190780@mail.gov.ua</w:t>
              </w:r>
            </w:hyperlink>
          </w:p>
          <w:p w:rsidR="00EB67DA" w:rsidRPr="00EB67DA" w:rsidRDefault="00EB67DA" w:rsidP="008516AA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9" w:history="1">
              <w:r w:rsidRPr="00EB67DA">
                <w:rPr>
                  <w:rStyle w:val="ac"/>
                  <w:sz w:val="24"/>
                  <w:szCs w:val="2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E36232" w:rsidRPr="00E36232" w:rsidTr="00E3623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36232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E36232" w:rsidRDefault="005B0160" w:rsidP="00E36232">
            <w:pPr>
              <w:pStyle w:val="ab"/>
              <w:tabs>
                <w:tab w:val="left" w:pos="4895"/>
              </w:tabs>
              <w:spacing w:before="0" w:beforeAutospacing="0" w:after="0" w:afterAutospacing="0"/>
              <w:ind w:right="7"/>
              <w:jc w:val="both"/>
            </w:pPr>
            <w:r w:rsidRPr="00E36232">
              <w:t>Закон</w:t>
            </w:r>
            <w:r w:rsidR="00303825">
              <w:t>и</w:t>
            </w:r>
            <w:r w:rsidRPr="00E36232">
              <w:t xml:space="preserve"> України „Про статус ветеранів війни, гарантії соціального захисту”</w:t>
            </w:r>
            <w:r w:rsidR="00D673BA" w:rsidRPr="00E36232">
              <w:t xml:space="preserve"> від 22.10.1993 </w:t>
            </w:r>
            <w:r w:rsidR="009A6C28" w:rsidRPr="00E36232">
              <w:t>№</w:t>
            </w:r>
            <w:r w:rsidR="00D673BA" w:rsidRPr="00E36232">
              <w:t> </w:t>
            </w:r>
            <w:r w:rsidR="009A6C28" w:rsidRPr="00E36232">
              <w:t>3551-ХІІ</w:t>
            </w:r>
            <w:r w:rsidR="00D673BA" w:rsidRPr="00E36232">
              <w:t xml:space="preserve">, </w:t>
            </w:r>
            <w:r w:rsidRPr="00E36232">
              <w:t>„Про жертви нацистських переслідувань”</w:t>
            </w:r>
            <w:r w:rsidR="009A6C28" w:rsidRPr="00E36232">
              <w:t xml:space="preserve"> від 23.03.2000 №</w:t>
            </w:r>
            <w:r w:rsidR="00E36232">
              <w:t> </w:t>
            </w:r>
            <w:r w:rsidR="009A6C28" w:rsidRPr="00E36232">
              <w:t>1584-ІІІ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498B" w:rsidRPr="00E36232" w:rsidRDefault="00E64934" w:rsidP="003E149F">
            <w:pPr>
              <w:pStyle w:val="ab"/>
              <w:spacing w:before="0" w:beforeAutospacing="0" w:after="0" w:afterAutospacing="0"/>
              <w:ind w:right="6"/>
              <w:jc w:val="both"/>
            </w:pPr>
            <w:r>
              <w:t>Постанов</w:t>
            </w:r>
            <w:r w:rsidR="003E149F">
              <w:t>а</w:t>
            </w:r>
            <w:r w:rsidR="00705C95" w:rsidRPr="00A90BA7">
              <w:t xml:space="preserve"> Кабінету Міністрів України від 22.02.2006 №</w:t>
            </w:r>
            <w:r w:rsidR="00705C95">
              <w:t> </w:t>
            </w:r>
            <w:r w:rsidR="00705C95" w:rsidRPr="00A90BA7">
              <w:t>187 „Про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 (крім м. Києва) рад</w:t>
            </w:r>
            <w:r w:rsidR="003E149F">
              <w:t>”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E36232" w:rsidRDefault="00D7266B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E36232" w:rsidRDefault="00D7266B" w:rsidP="00D2460C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468D" w:rsidRPr="00F6313D" w:rsidRDefault="00F6313D" w:rsidP="000F4AC7">
            <w:pPr>
              <w:rPr>
                <w:sz w:val="24"/>
                <w:szCs w:val="24"/>
              </w:rPr>
            </w:pPr>
            <w:r w:rsidRPr="00F6313D">
              <w:rPr>
                <w:sz w:val="24"/>
                <w:szCs w:val="24"/>
              </w:rPr>
              <w:t xml:space="preserve">Накази Міністерства соціальної політики України від 24.05.2017  № 868 „Про затвердження переліку базових послуг, які входять до вартості путівки”, зареєстрований у </w:t>
            </w:r>
            <w:r w:rsidRPr="00F6313D">
              <w:rPr>
                <w:sz w:val="24"/>
                <w:szCs w:val="24"/>
              </w:rPr>
              <w:lastRenderedPageBreak/>
              <w:t>Міністерстві юстиції України 15.06.2017 за № 743/30611, від 22.01.2018 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у Міністерстві юстиції України 13.02.2018 за № 163/31615</w:t>
            </w:r>
            <w:r w:rsidR="009F46CD" w:rsidRPr="00F6313D">
              <w:rPr>
                <w:sz w:val="24"/>
                <w:szCs w:val="24"/>
              </w:rPr>
              <w:t xml:space="preserve"> </w:t>
            </w:r>
          </w:p>
        </w:tc>
      </w:tr>
      <w:tr w:rsidR="00E36232" w:rsidRPr="00E36232" w:rsidTr="00E3623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36232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FA1A68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AB0" w:rsidRPr="00E36232" w:rsidRDefault="00B81668" w:rsidP="00B8166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B81668">
              <w:rPr>
                <w:sz w:val="24"/>
                <w:szCs w:val="24"/>
              </w:rPr>
              <w:t>Наявність медичних показань для забезпечення санаторно-курортним лікуванням</w:t>
            </w:r>
            <w:r>
              <w:t xml:space="preserve"> </w:t>
            </w:r>
            <w:r w:rsidRPr="00B81668">
              <w:rPr>
                <w:sz w:val="24"/>
                <w:szCs w:val="24"/>
              </w:rPr>
              <w:t>ветеранів війни та</w:t>
            </w:r>
            <w:r w:rsidR="00E64934">
              <w:rPr>
                <w:sz w:val="24"/>
                <w:szCs w:val="24"/>
              </w:rPr>
              <w:t xml:space="preserve"> осіб, на яких поширюється дія з</w:t>
            </w:r>
            <w:r w:rsidRPr="00B81668">
              <w:rPr>
                <w:sz w:val="24"/>
                <w:szCs w:val="24"/>
              </w:rPr>
              <w:t xml:space="preserve">аконів </w:t>
            </w:r>
            <w:r>
              <w:rPr>
                <w:sz w:val="24"/>
                <w:szCs w:val="24"/>
              </w:rPr>
              <w:t>України „П</w:t>
            </w:r>
            <w:r w:rsidRPr="00B81668">
              <w:rPr>
                <w:sz w:val="24"/>
                <w:szCs w:val="24"/>
              </w:rPr>
              <w:t>ро статус ветеранів війни, гарант</w:t>
            </w:r>
            <w:r>
              <w:rPr>
                <w:sz w:val="24"/>
                <w:szCs w:val="24"/>
              </w:rPr>
              <w:t>ії їх соціального захисту” та „П</w:t>
            </w:r>
            <w:r w:rsidRPr="00B81668">
              <w:rPr>
                <w:sz w:val="24"/>
                <w:szCs w:val="24"/>
              </w:rPr>
              <w:t>ро жертви нацистських переслідувань”</w:t>
            </w:r>
            <w:r w:rsidR="00364F66">
              <w:rPr>
                <w:sz w:val="24"/>
                <w:szCs w:val="24"/>
              </w:rPr>
              <w:t>.*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1D2AE7" w:rsidP="00FA1A68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ru-RU"/>
              </w:rPr>
              <w:t xml:space="preserve">Перелік </w:t>
            </w:r>
            <w:r w:rsidR="00FA1A68" w:rsidRPr="00E36232">
              <w:rPr>
                <w:sz w:val="24"/>
                <w:szCs w:val="24"/>
                <w:lang w:eastAsia="ru-RU"/>
              </w:rPr>
              <w:t xml:space="preserve">необхідних </w:t>
            </w:r>
            <w:r w:rsidRPr="00E36232">
              <w:rPr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1217" w:rsidRPr="00E36232" w:rsidRDefault="00AA4E2F" w:rsidP="00D673B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en-US"/>
              </w:rPr>
            </w:pPr>
            <w:bookmarkStart w:id="1" w:name="n506"/>
            <w:bookmarkEnd w:id="1"/>
            <w:r>
              <w:rPr>
                <w:lang w:val="uk-UA" w:eastAsia="en-US"/>
              </w:rPr>
              <w:t>Заява</w:t>
            </w:r>
            <w:r w:rsidR="007E4B0A" w:rsidRPr="007E4B0A">
              <w:rPr>
                <w:lang w:val="uk-UA" w:eastAsia="en-US"/>
              </w:rPr>
              <w:t xml:space="preserve"> за формою</w:t>
            </w:r>
            <w:r>
              <w:rPr>
                <w:lang w:val="uk-UA" w:eastAsia="en-US"/>
              </w:rPr>
              <w:t>,</w:t>
            </w:r>
            <w:r w:rsidR="007E4B0A" w:rsidRPr="007E4B0A">
              <w:rPr>
                <w:lang w:val="uk-UA" w:eastAsia="en-US"/>
              </w:rPr>
              <w:t xml:space="preserve"> затвердженою </w:t>
            </w:r>
            <w:r w:rsidR="00705C95" w:rsidRPr="00705C95">
              <w:rPr>
                <w:lang w:val="uk-UA"/>
              </w:rPr>
              <w:t>наказ</w:t>
            </w:r>
            <w:r w:rsidR="00705C95">
              <w:rPr>
                <w:lang w:val="uk-UA"/>
              </w:rPr>
              <w:t>ом</w:t>
            </w:r>
            <w:r w:rsidR="00705C95" w:rsidRPr="00705C95">
              <w:rPr>
                <w:lang w:val="uk-UA"/>
              </w:rPr>
              <w:t xml:space="preserve"> Міністерства соціальної політики України від 22.01.2018</w:t>
            </w:r>
            <w:r w:rsidR="00705C95" w:rsidRPr="00E36232">
              <w:t> </w:t>
            </w:r>
            <w:r w:rsidR="00705C95" w:rsidRPr="00705C95">
              <w:rPr>
                <w:lang w:val="uk-UA"/>
              </w:rPr>
              <w:t xml:space="preserve">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</w:t>
            </w:r>
            <w:r w:rsidR="00705C95">
              <w:rPr>
                <w:lang w:val="uk-UA"/>
              </w:rPr>
              <w:t>за  № 163/31615</w:t>
            </w:r>
            <w:r w:rsidR="007E4B0A" w:rsidRPr="007E4B0A">
              <w:rPr>
                <w:lang w:val="uk-UA" w:eastAsia="en-US"/>
              </w:rPr>
              <w:t>;</w:t>
            </w:r>
          </w:p>
          <w:p w:rsidR="00CE1217" w:rsidRPr="00E36232" w:rsidRDefault="00CE1217" w:rsidP="00D67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hyperlink r:id="rId10" w:anchor="n3" w:tgtFrame="_blank" w:history="1">
              <w:r w:rsidRPr="00E36232">
                <w:rPr>
                  <w:sz w:val="24"/>
                  <w:szCs w:val="24"/>
                </w:rPr>
                <w:t>медична довідка</w:t>
              </w:r>
            </w:hyperlink>
            <w:r w:rsidRPr="00E36232">
              <w:rPr>
                <w:sz w:val="24"/>
                <w:szCs w:val="24"/>
              </w:rPr>
              <w:t xml:space="preserve"> закладу охо</w:t>
            </w:r>
            <w:r w:rsidR="00DE70AF" w:rsidRPr="00E36232">
              <w:rPr>
                <w:sz w:val="24"/>
                <w:szCs w:val="24"/>
              </w:rPr>
              <w:t>рони здоров’я за формою №</w:t>
            </w:r>
            <w:r w:rsidR="00E36232">
              <w:rPr>
                <w:sz w:val="24"/>
                <w:szCs w:val="24"/>
              </w:rPr>
              <w:t> </w:t>
            </w:r>
            <w:r w:rsidR="00DE70AF" w:rsidRPr="00E36232">
              <w:rPr>
                <w:sz w:val="24"/>
                <w:szCs w:val="24"/>
              </w:rPr>
              <w:t>070/о</w:t>
            </w:r>
            <w:r w:rsidR="003803A7">
              <w:rPr>
                <w:sz w:val="24"/>
                <w:szCs w:val="24"/>
              </w:rPr>
              <w:t xml:space="preserve">, </w:t>
            </w:r>
            <w:r w:rsidR="003803A7" w:rsidRPr="003803A7">
              <w:rPr>
                <w:sz w:val="24"/>
                <w:szCs w:val="24"/>
              </w:rPr>
              <w:t>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підпорядкуванняˮ, зареєстрованим в Міністерстві юстиції України 28.04.2012 за № 661/20974</w:t>
            </w:r>
            <w:r w:rsidR="00DE70AF" w:rsidRPr="00E36232">
              <w:rPr>
                <w:sz w:val="24"/>
                <w:szCs w:val="24"/>
              </w:rPr>
              <w:t>;</w:t>
            </w:r>
          </w:p>
          <w:p w:rsidR="0018583B" w:rsidRPr="00E36232" w:rsidRDefault="0018583B" w:rsidP="00D67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36232">
              <w:rPr>
                <w:sz w:val="24"/>
                <w:szCs w:val="24"/>
                <w:lang w:eastAsia="ru-RU"/>
              </w:rPr>
              <w:t>посвідчення особи, що підтверджує її належність до осіб пільгової категорії;</w:t>
            </w:r>
          </w:p>
          <w:p w:rsidR="00E937A2" w:rsidRPr="00E36232" w:rsidRDefault="00CE1217" w:rsidP="00D673B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36232">
              <w:rPr>
                <w:lang w:val="uk-UA"/>
              </w:rPr>
              <w:t>о</w:t>
            </w:r>
            <w:r w:rsidR="0018583B" w:rsidRPr="00E36232">
              <w:rPr>
                <w:lang w:val="uk-UA"/>
              </w:rPr>
              <w:t>блікові дані про одержання путівок чи отримання грошової компенсації</w:t>
            </w:r>
            <w:r w:rsidR="00DE70AF" w:rsidRPr="00E36232">
              <w:rPr>
                <w:lang w:val="uk-UA"/>
              </w:rPr>
              <w:t xml:space="preserve"> замість санаторно-курортної путівки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A739DD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7F4F" w:rsidRPr="00E36232" w:rsidRDefault="00827F4F" w:rsidP="00D67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36232">
              <w:rPr>
                <w:sz w:val="24"/>
                <w:szCs w:val="24"/>
                <w:lang w:eastAsia="ru-RU"/>
              </w:rPr>
              <w:t xml:space="preserve">Заява та документи, необхідні для </w:t>
            </w:r>
            <w:r w:rsidR="00E36232" w:rsidRPr="00E36232">
              <w:rPr>
                <w:sz w:val="24"/>
                <w:szCs w:val="24"/>
                <w:lang w:eastAsia="ru-RU"/>
              </w:rPr>
              <w:t>взяття на облік для забезпечення санаторно-курортним лікуванням (путівками) ветеранів війни та</w:t>
            </w:r>
            <w:r w:rsidR="00E36232">
              <w:rPr>
                <w:sz w:val="24"/>
                <w:szCs w:val="24"/>
                <w:lang w:eastAsia="ru-RU"/>
              </w:rPr>
              <w:t xml:space="preserve"> осіб, на яких поширюєтьс</w:t>
            </w:r>
            <w:r w:rsidR="00E64934">
              <w:rPr>
                <w:sz w:val="24"/>
                <w:szCs w:val="24"/>
                <w:lang w:eastAsia="ru-RU"/>
              </w:rPr>
              <w:t>я дія з</w:t>
            </w:r>
            <w:r w:rsidR="00E36232">
              <w:rPr>
                <w:sz w:val="24"/>
                <w:szCs w:val="24"/>
                <w:lang w:eastAsia="ru-RU"/>
              </w:rPr>
              <w:t>аконів У</w:t>
            </w:r>
            <w:r w:rsidR="00E36232" w:rsidRPr="00E36232">
              <w:rPr>
                <w:sz w:val="24"/>
                <w:szCs w:val="24"/>
                <w:lang w:eastAsia="ru-RU"/>
              </w:rPr>
              <w:t>країни „</w:t>
            </w:r>
            <w:r w:rsidR="00E36232">
              <w:rPr>
                <w:sz w:val="24"/>
                <w:szCs w:val="24"/>
                <w:lang w:eastAsia="ru-RU"/>
              </w:rPr>
              <w:t>П</w:t>
            </w:r>
            <w:r w:rsidR="00E36232" w:rsidRPr="00E36232">
              <w:rPr>
                <w:sz w:val="24"/>
                <w:szCs w:val="24"/>
                <w:lang w:eastAsia="ru-RU"/>
              </w:rPr>
              <w:t>ро статус ветеранів війни, гарантії їх соціального захисту” та „</w:t>
            </w:r>
            <w:r w:rsidR="00E36232">
              <w:rPr>
                <w:sz w:val="24"/>
                <w:szCs w:val="24"/>
                <w:lang w:eastAsia="ru-RU"/>
              </w:rPr>
              <w:t>П</w:t>
            </w:r>
            <w:r w:rsidR="00E36232" w:rsidRPr="00E36232">
              <w:rPr>
                <w:sz w:val="24"/>
                <w:szCs w:val="24"/>
                <w:lang w:eastAsia="ru-RU"/>
              </w:rPr>
              <w:t>ро жертви нацистських переслідувань”</w:t>
            </w:r>
            <w:r w:rsidRPr="00E36232">
              <w:rPr>
                <w:sz w:val="24"/>
                <w:szCs w:val="24"/>
                <w:lang w:eastAsia="ru-RU"/>
              </w:rPr>
              <w:t>, подаються особою суб’єкт</w:t>
            </w:r>
            <w:r w:rsidR="00E36232">
              <w:rPr>
                <w:sz w:val="24"/>
                <w:szCs w:val="24"/>
                <w:lang w:eastAsia="ru-RU"/>
              </w:rPr>
              <w:t>у</w:t>
            </w:r>
            <w:r w:rsidRPr="00E36232">
              <w:rPr>
                <w:sz w:val="24"/>
                <w:szCs w:val="24"/>
                <w:lang w:eastAsia="ru-RU"/>
              </w:rPr>
              <w:t xml:space="preserve"> надання адміністративної послуги:</w:t>
            </w:r>
          </w:p>
          <w:p w:rsidR="00E36232" w:rsidRPr="00E36232" w:rsidRDefault="00E36232" w:rsidP="00E3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36232">
              <w:rPr>
                <w:sz w:val="24"/>
                <w:szCs w:val="24"/>
                <w:lang w:eastAsia="ru-RU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E937A2" w:rsidRPr="00E36232" w:rsidRDefault="00E36232" w:rsidP="00E3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36232">
              <w:rPr>
                <w:sz w:val="24"/>
                <w:szCs w:val="24"/>
                <w:lang w:eastAsia="ru-RU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  <w:r w:rsidR="00364F66"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E36232" w:rsidRDefault="00327D35" w:rsidP="00D673BA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Послуга надається на </w:t>
            </w:r>
            <w:r w:rsidRPr="00E36232">
              <w:rPr>
                <w:sz w:val="24"/>
                <w:szCs w:val="24"/>
                <w:lang w:eastAsia="ru-RU"/>
              </w:rPr>
              <w:t>безоплатній основі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4834D7" w:rsidP="006D3299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6D3299" w:rsidRPr="00E3623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6543B6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2242" w:rsidRPr="00E36232" w:rsidRDefault="006339F9" w:rsidP="00382BD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днів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E36232" w:rsidRDefault="00E937A2" w:rsidP="006D3299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1</w:t>
            </w:r>
            <w:r w:rsidR="006D3299" w:rsidRPr="00E3623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E36232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Перелік підстав для відмови</w:t>
            </w:r>
            <w:r w:rsidR="00862B80" w:rsidRPr="00E36232">
              <w:rPr>
                <w:sz w:val="24"/>
                <w:szCs w:val="24"/>
                <w:lang w:eastAsia="uk-UA"/>
              </w:rPr>
              <w:t xml:space="preserve"> у наданні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1AF" w:rsidRPr="00E36232" w:rsidRDefault="00AF41AF" w:rsidP="00AF4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E36232">
              <w:rPr>
                <w:sz w:val="24"/>
                <w:szCs w:val="24"/>
                <w:lang w:eastAsia="ru-RU"/>
              </w:rPr>
              <w:t>Подання документі</w:t>
            </w:r>
            <w:r w:rsidR="00E64934">
              <w:rPr>
                <w:sz w:val="24"/>
                <w:szCs w:val="24"/>
                <w:lang w:eastAsia="ru-RU"/>
              </w:rPr>
              <w:t>в до заяви не в повному обсязі;</w:t>
            </w:r>
          </w:p>
          <w:p w:rsidR="00E937A2" w:rsidRPr="00E36232" w:rsidRDefault="00AF41AF" w:rsidP="0036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trike/>
                <w:sz w:val="24"/>
                <w:szCs w:val="24"/>
              </w:rPr>
            </w:pPr>
            <w:r w:rsidRPr="00E36232">
              <w:rPr>
                <w:sz w:val="24"/>
                <w:szCs w:val="24"/>
                <w:lang w:eastAsia="ru-RU"/>
              </w:rPr>
              <w:t>заява подана особою, яка не має права на взяття на облік для забезпечення санаторно-курортним лікуванням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6D3299">
            <w:pPr>
              <w:jc w:val="left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1</w:t>
            </w:r>
            <w:r w:rsidR="006D3299" w:rsidRPr="00E36232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69D" w:rsidRPr="00E36232" w:rsidRDefault="00F01C77" w:rsidP="00F01C77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Взяття на облік для з</w:t>
            </w:r>
            <w:r w:rsidR="00BA652E" w:rsidRPr="00E36232">
              <w:rPr>
                <w:sz w:val="24"/>
                <w:szCs w:val="24"/>
                <w:lang w:eastAsia="uk-UA"/>
              </w:rPr>
              <w:t xml:space="preserve">абезпечення санаторно-курортною путівкою / відмова </w:t>
            </w:r>
            <w:r>
              <w:rPr>
                <w:sz w:val="24"/>
                <w:szCs w:val="24"/>
                <w:lang w:eastAsia="uk-UA"/>
              </w:rPr>
              <w:t xml:space="preserve">у взятті на облік для </w:t>
            </w:r>
            <w:r w:rsidR="00BA652E" w:rsidRPr="00E36232">
              <w:rPr>
                <w:sz w:val="24"/>
                <w:szCs w:val="24"/>
                <w:lang w:eastAsia="uk-UA"/>
              </w:rPr>
              <w:t>забезпечен</w:t>
            </w:r>
            <w:r>
              <w:rPr>
                <w:sz w:val="24"/>
                <w:szCs w:val="24"/>
                <w:lang w:eastAsia="uk-UA"/>
              </w:rPr>
              <w:t>ня</w:t>
            </w:r>
            <w:r w:rsidR="00BA652E" w:rsidRPr="00E36232">
              <w:rPr>
                <w:sz w:val="24"/>
                <w:szCs w:val="24"/>
                <w:lang w:eastAsia="uk-UA"/>
              </w:rPr>
              <w:t xml:space="preserve"> санаторно-курортною путівкою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6D3299">
            <w:pPr>
              <w:jc w:val="left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1</w:t>
            </w:r>
            <w:r w:rsidR="006D3299" w:rsidRPr="00E3623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4F66" w:rsidRDefault="00364F66" w:rsidP="00364F66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bookmarkStart w:id="5" w:name="o638"/>
            <w:bookmarkStart w:id="6" w:name="n424"/>
            <w:bookmarkEnd w:id="5"/>
            <w:bookmarkEnd w:id="6"/>
            <w:r w:rsidRPr="006D04F8">
              <w:rPr>
                <w:sz w:val="24"/>
                <w:szCs w:val="24"/>
                <w:lang w:eastAsia="ru-RU"/>
              </w:rPr>
              <w:t xml:space="preserve">Повідомлення про </w:t>
            </w:r>
            <w:r>
              <w:rPr>
                <w:sz w:val="24"/>
                <w:szCs w:val="24"/>
                <w:lang w:eastAsia="ru-RU"/>
              </w:rPr>
              <w:t xml:space="preserve">взяття на облік/відмову у взятті на облік для </w:t>
            </w:r>
            <w:r w:rsidR="006339F9" w:rsidRPr="006339F9">
              <w:rPr>
                <w:sz w:val="24"/>
                <w:szCs w:val="24"/>
                <w:lang w:eastAsia="ru-RU"/>
              </w:rPr>
              <w:t>забезпечення санаторно-курортною путівкою</w:t>
            </w:r>
          </w:p>
          <w:p w:rsidR="00364F66" w:rsidRDefault="00364F66" w:rsidP="00364F66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 час прийняття заяви, якщо заяву подано особисто;</w:t>
            </w:r>
          </w:p>
          <w:p w:rsidR="00364F66" w:rsidRDefault="00364F66" w:rsidP="00364F66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письмово, якщо документи надійшли поштою;</w:t>
            </w:r>
          </w:p>
          <w:p w:rsidR="00CD10F4" w:rsidRPr="00E36232" w:rsidRDefault="00364F66" w:rsidP="00364F66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або в</w:t>
            </w:r>
            <w:r w:rsidRPr="006D04F8">
              <w:rPr>
                <w:sz w:val="24"/>
                <w:szCs w:val="24"/>
              </w:rPr>
              <w:t xml:space="preserve"> електронній формі</w:t>
            </w:r>
            <w:r>
              <w:rPr>
                <w:sz w:val="24"/>
                <w:szCs w:val="24"/>
              </w:rPr>
              <w:t xml:space="preserve"> </w:t>
            </w:r>
            <w:r w:rsidRPr="006D04F8">
              <w:rPr>
                <w:sz w:val="24"/>
                <w:szCs w:val="24"/>
              </w:rPr>
              <w:t>(у разі технічної можливості)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827F4F" w:rsidRPr="00E36232" w:rsidRDefault="00827F4F" w:rsidP="00827F4F">
      <w:bookmarkStart w:id="7" w:name="n43"/>
      <w:bookmarkEnd w:id="7"/>
    </w:p>
    <w:p w:rsidR="00382C2D" w:rsidRPr="002A0ABB" w:rsidRDefault="00382C2D" w:rsidP="00382C2D">
      <w:pPr>
        <w:ind w:right="-1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* </w:t>
      </w:r>
      <w:r w:rsidRPr="002A0ABB">
        <w:rPr>
          <w:i/>
          <w:sz w:val="23"/>
          <w:szCs w:val="23"/>
        </w:rPr>
        <w:t>Відповідно до Закону України ,,Про Державний бюджет України на 2024 рік” від 09.11.2023 №</w:t>
      </w:r>
      <w:r>
        <w:rPr>
          <w:i/>
          <w:sz w:val="23"/>
          <w:szCs w:val="23"/>
        </w:rPr>
        <w:t> </w:t>
      </w:r>
      <w:r w:rsidRPr="002A0ABB">
        <w:rPr>
          <w:i/>
          <w:sz w:val="23"/>
          <w:szCs w:val="23"/>
        </w:rPr>
        <w:t xml:space="preserve">3460-IX </w:t>
      </w:r>
      <w:r w:rsidR="00BA509B" w:rsidRPr="002A0ABB">
        <w:rPr>
          <w:i/>
          <w:sz w:val="23"/>
          <w:szCs w:val="23"/>
        </w:rPr>
        <w:t xml:space="preserve">та </w:t>
      </w:r>
      <w:r w:rsidR="00BA509B">
        <w:rPr>
          <w:i/>
          <w:sz w:val="23"/>
          <w:szCs w:val="23"/>
        </w:rPr>
        <w:t xml:space="preserve"> </w:t>
      </w:r>
      <w:r w:rsidR="00BA509B" w:rsidRPr="002A0ABB">
        <w:rPr>
          <w:i/>
          <w:sz w:val="23"/>
          <w:szCs w:val="23"/>
        </w:rPr>
        <w:t>Закону України „Про Державний бюджет України на 202</w:t>
      </w:r>
      <w:r w:rsidR="006F683A">
        <w:rPr>
          <w:i/>
          <w:sz w:val="23"/>
          <w:szCs w:val="23"/>
        </w:rPr>
        <w:t>5</w:t>
      </w:r>
      <w:r w:rsidR="00BA509B" w:rsidRPr="002A0ABB">
        <w:rPr>
          <w:i/>
          <w:sz w:val="23"/>
          <w:szCs w:val="23"/>
        </w:rPr>
        <w:t xml:space="preserve"> рік” від </w:t>
      </w:r>
      <w:r w:rsidR="006F683A">
        <w:rPr>
          <w:i/>
          <w:sz w:val="23"/>
          <w:szCs w:val="23"/>
        </w:rPr>
        <w:t>19.11</w:t>
      </w:r>
      <w:r w:rsidR="00BA509B" w:rsidRPr="002A0ABB">
        <w:rPr>
          <w:i/>
          <w:sz w:val="23"/>
          <w:szCs w:val="23"/>
        </w:rPr>
        <w:t>.202</w:t>
      </w:r>
      <w:r w:rsidR="006F683A">
        <w:rPr>
          <w:i/>
          <w:sz w:val="23"/>
          <w:szCs w:val="23"/>
        </w:rPr>
        <w:t>4</w:t>
      </w:r>
      <w:r w:rsidR="00ED27B9">
        <w:rPr>
          <w:i/>
          <w:sz w:val="23"/>
          <w:szCs w:val="23"/>
        </w:rPr>
        <w:t xml:space="preserve">            </w:t>
      </w:r>
      <w:r w:rsidR="00BA509B">
        <w:rPr>
          <w:i/>
          <w:sz w:val="23"/>
          <w:szCs w:val="23"/>
        </w:rPr>
        <w:t> </w:t>
      </w:r>
      <w:r w:rsidR="006F683A" w:rsidRPr="006F683A">
        <w:rPr>
          <w:i/>
          <w:sz w:val="23"/>
          <w:szCs w:val="23"/>
        </w:rPr>
        <w:t xml:space="preserve">№ 4059-IX </w:t>
      </w:r>
      <w:r w:rsidRPr="002A0ABB">
        <w:rPr>
          <w:i/>
          <w:sz w:val="23"/>
          <w:szCs w:val="23"/>
        </w:rPr>
        <w:t>у 202</w:t>
      </w:r>
      <w:r w:rsidR="006F683A">
        <w:rPr>
          <w:i/>
          <w:sz w:val="23"/>
          <w:szCs w:val="23"/>
        </w:rPr>
        <w:t>4</w:t>
      </w:r>
      <w:r w:rsidRPr="002A0ABB">
        <w:rPr>
          <w:i/>
          <w:sz w:val="23"/>
          <w:szCs w:val="23"/>
        </w:rPr>
        <w:t>-му та 202</w:t>
      </w:r>
      <w:r w:rsidR="006F683A">
        <w:rPr>
          <w:i/>
          <w:sz w:val="23"/>
          <w:szCs w:val="23"/>
        </w:rPr>
        <w:t>5</w:t>
      </w:r>
      <w:r w:rsidRPr="002A0ABB">
        <w:rPr>
          <w:i/>
          <w:sz w:val="23"/>
          <w:szCs w:val="23"/>
        </w:rPr>
        <w:t>-му році призупинено дію пункту 3 частини першої статті 12, пункту 3 частини першої статті 13, пункту 3 частини першої статті 14, пункту 3 частини першої статті 15, пункту 6 частини першої статті 16 Закону України „Про статус ветеранів війни, гарантії їх соціального захисту”, тому у 202</w:t>
      </w:r>
      <w:r w:rsidR="006F683A">
        <w:rPr>
          <w:i/>
          <w:sz w:val="23"/>
          <w:szCs w:val="23"/>
        </w:rPr>
        <w:t>4</w:t>
      </w:r>
      <w:r w:rsidRPr="002A0ABB">
        <w:rPr>
          <w:i/>
          <w:sz w:val="23"/>
          <w:szCs w:val="23"/>
        </w:rPr>
        <w:t>-му та 202</w:t>
      </w:r>
      <w:r w:rsidR="006F683A">
        <w:rPr>
          <w:i/>
          <w:sz w:val="23"/>
          <w:szCs w:val="23"/>
        </w:rPr>
        <w:t>5</w:t>
      </w:r>
      <w:r w:rsidRPr="002A0ABB">
        <w:rPr>
          <w:i/>
          <w:sz w:val="23"/>
          <w:szCs w:val="23"/>
        </w:rPr>
        <w:t>-му році видатків з державного бюджету на забезпечення санаторно-курортним лікуванням та виплату компенсації замість нього не передбачено.</w:t>
      </w:r>
    </w:p>
    <w:p w:rsidR="00382C2D" w:rsidRDefault="00382C2D" w:rsidP="00382C2D">
      <w:pPr>
        <w:ind w:right="-1"/>
        <w:rPr>
          <w:i/>
          <w:sz w:val="23"/>
          <w:szCs w:val="23"/>
        </w:rPr>
      </w:pPr>
    </w:p>
    <w:p w:rsidR="00382C2D" w:rsidRPr="006D04F8" w:rsidRDefault="00382C2D" w:rsidP="00382C2D">
      <w:pPr>
        <w:ind w:right="-1"/>
      </w:pPr>
      <w:r w:rsidRPr="006D04F8">
        <w:rPr>
          <w:i/>
          <w:sz w:val="23"/>
          <w:szCs w:val="23"/>
        </w:rPr>
        <w:t>*</w:t>
      </w:r>
      <w:r>
        <w:rPr>
          <w:i/>
          <w:sz w:val="23"/>
          <w:szCs w:val="23"/>
        </w:rPr>
        <w:t>*</w:t>
      </w:r>
      <w:r w:rsidRPr="006D04F8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Д</w:t>
      </w:r>
      <w:r w:rsidRPr="006D04F8">
        <w:rPr>
          <w:i/>
          <w:sz w:val="23"/>
          <w:szCs w:val="23"/>
        </w:rPr>
        <w:t xml:space="preserve">о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призначення </w:t>
      </w:r>
      <w:r>
        <w:rPr>
          <w:i/>
          <w:sz w:val="23"/>
          <w:szCs w:val="23"/>
        </w:rPr>
        <w:t>компенсації</w:t>
      </w:r>
      <w:r w:rsidRPr="006D04F8">
        <w:rPr>
          <w:i/>
          <w:sz w:val="23"/>
          <w:szCs w:val="23"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</w:t>
      </w:r>
      <w:r>
        <w:rPr>
          <w:i/>
          <w:sz w:val="23"/>
          <w:szCs w:val="23"/>
        </w:rPr>
        <w:t>, районної у місті (у разі</w:t>
      </w:r>
      <w:r w:rsidRPr="006D04F8">
        <w:rPr>
          <w:i/>
          <w:sz w:val="23"/>
          <w:szCs w:val="23"/>
        </w:rPr>
        <w:t xml:space="preserve"> утворення) ради</w:t>
      </w:r>
      <w:r>
        <w:rPr>
          <w:i/>
          <w:sz w:val="23"/>
          <w:szCs w:val="23"/>
        </w:rPr>
        <w:t>.</w:t>
      </w:r>
      <w:r w:rsidRPr="006D04F8">
        <w:rPr>
          <w:i/>
          <w:sz w:val="23"/>
          <w:szCs w:val="23"/>
        </w:rPr>
        <w:t xml:space="preserve"> </w:t>
      </w:r>
    </w:p>
    <w:p w:rsidR="00827F4F" w:rsidRPr="00705C95" w:rsidRDefault="00827F4F" w:rsidP="00382C2D">
      <w:pPr>
        <w:rPr>
          <w:i/>
          <w:sz w:val="24"/>
        </w:rPr>
      </w:pPr>
    </w:p>
    <w:sectPr w:rsidR="00827F4F" w:rsidRPr="00705C95" w:rsidSect="006D3299">
      <w:headerReference w:type="default" r:id="rId11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747" w:rsidRDefault="00155747">
      <w:r>
        <w:separator/>
      </w:r>
    </w:p>
  </w:endnote>
  <w:endnote w:type="continuationSeparator" w:id="1">
    <w:p w:rsidR="00155747" w:rsidRDefault="00155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747" w:rsidRDefault="00155747">
      <w:r>
        <w:separator/>
      </w:r>
    </w:p>
  </w:footnote>
  <w:footnote w:type="continuationSeparator" w:id="1">
    <w:p w:rsidR="00155747" w:rsidRDefault="00155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60A23" w:rsidRPr="00260A23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59AD04BB"/>
    <w:multiLevelType w:val="hybridMultilevel"/>
    <w:tmpl w:val="B3C4F488"/>
    <w:lvl w:ilvl="0" w:tplc="0622AE42">
      <w:start w:val="5"/>
      <w:numFmt w:val="bullet"/>
      <w:lvlText w:val="-"/>
      <w:lvlJc w:val="left"/>
      <w:pPr>
        <w:ind w:left="6881" w:hanging="360"/>
      </w:pPr>
      <w:rPr>
        <w:rFonts w:ascii="Times New Roman" w:eastAsia="Times New Roman" w:hAnsi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3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36A67"/>
    <w:rsid w:val="00036C7E"/>
    <w:rsid w:val="00042A7F"/>
    <w:rsid w:val="0005564B"/>
    <w:rsid w:val="000605BE"/>
    <w:rsid w:val="00060E8A"/>
    <w:rsid w:val="00063512"/>
    <w:rsid w:val="000655A6"/>
    <w:rsid w:val="00083704"/>
    <w:rsid w:val="00084C29"/>
    <w:rsid w:val="00085371"/>
    <w:rsid w:val="00090045"/>
    <w:rsid w:val="000B786B"/>
    <w:rsid w:val="000C20B5"/>
    <w:rsid w:val="000C2AFA"/>
    <w:rsid w:val="000C4798"/>
    <w:rsid w:val="000C6523"/>
    <w:rsid w:val="000C77D7"/>
    <w:rsid w:val="000E1F11"/>
    <w:rsid w:val="000E1FD6"/>
    <w:rsid w:val="000F2113"/>
    <w:rsid w:val="000F4AC7"/>
    <w:rsid w:val="000F52D4"/>
    <w:rsid w:val="000F612A"/>
    <w:rsid w:val="00103643"/>
    <w:rsid w:val="001038DC"/>
    <w:rsid w:val="001105E0"/>
    <w:rsid w:val="00115B24"/>
    <w:rsid w:val="001243CC"/>
    <w:rsid w:val="0014093E"/>
    <w:rsid w:val="0014298A"/>
    <w:rsid w:val="00142A11"/>
    <w:rsid w:val="00142BDB"/>
    <w:rsid w:val="00146936"/>
    <w:rsid w:val="00146AA9"/>
    <w:rsid w:val="00146C85"/>
    <w:rsid w:val="00155747"/>
    <w:rsid w:val="00155A98"/>
    <w:rsid w:val="00157EB2"/>
    <w:rsid w:val="001611BA"/>
    <w:rsid w:val="001651D9"/>
    <w:rsid w:val="00182686"/>
    <w:rsid w:val="00184DCE"/>
    <w:rsid w:val="0018583B"/>
    <w:rsid w:val="0019293C"/>
    <w:rsid w:val="001A3106"/>
    <w:rsid w:val="001B34C5"/>
    <w:rsid w:val="001B3A60"/>
    <w:rsid w:val="001B588C"/>
    <w:rsid w:val="001C481F"/>
    <w:rsid w:val="001D2AE7"/>
    <w:rsid w:val="001D5657"/>
    <w:rsid w:val="001E0E70"/>
    <w:rsid w:val="001E1F5F"/>
    <w:rsid w:val="001E448E"/>
    <w:rsid w:val="001F252B"/>
    <w:rsid w:val="00200BCD"/>
    <w:rsid w:val="00206244"/>
    <w:rsid w:val="00216288"/>
    <w:rsid w:val="00230C15"/>
    <w:rsid w:val="00234BF6"/>
    <w:rsid w:val="0023746A"/>
    <w:rsid w:val="00260A23"/>
    <w:rsid w:val="00264EFA"/>
    <w:rsid w:val="00266539"/>
    <w:rsid w:val="00266F73"/>
    <w:rsid w:val="00267899"/>
    <w:rsid w:val="002701F6"/>
    <w:rsid w:val="00281258"/>
    <w:rsid w:val="0029223E"/>
    <w:rsid w:val="00292242"/>
    <w:rsid w:val="002A0ABB"/>
    <w:rsid w:val="002A134F"/>
    <w:rsid w:val="002B15D1"/>
    <w:rsid w:val="002B1C72"/>
    <w:rsid w:val="002B6C94"/>
    <w:rsid w:val="002C11F9"/>
    <w:rsid w:val="002C36D1"/>
    <w:rsid w:val="002C5FE2"/>
    <w:rsid w:val="002F5180"/>
    <w:rsid w:val="00302A81"/>
    <w:rsid w:val="00303825"/>
    <w:rsid w:val="003068DD"/>
    <w:rsid w:val="00313492"/>
    <w:rsid w:val="0031780F"/>
    <w:rsid w:val="0032419D"/>
    <w:rsid w:val="00327D35"/>
    <w:rsid w:val="00350A8B"/>
    <w:rsid w:val="003513A6"/>
    <w:rsid w:val="0036107E"/>
    <w:rsid w:val="00364E65"/>
    <w:rsid w:val="00364F66"/>
    <w:rsid w:val="0036505C"/>
    <w:rsid w:val="003705E8"/>
    <w:rsid w:val="003711BB"/>
    <w:rsid w:val="00374290"/>
    <w:rsid w:val="0037468D"/>
    <w:rsid w:val="003803A7"/>
    <w:rsid w:val="00382975"/>
    <w:rsid w:val="00382BD2"/>
    <w:rsid w:val="00382C2D"/>
    <w:rsid w:val="003945B6"/>
    <w:rsid w:val="00395BBB"/>
    <w:rsid w:val="00396206"/>
    <w:rsid w:val="003B3D20"/>
    <w:rsid w:val="003E149F"/>
    <w:rsid w:val="003E1BEA"/>
    <w:rsid w:val="003E6B43"/>
    <w:rsid w:val="004014F1"/>
    <w:rsid w:val="00403747"/>
    <w:rsid w:val="00407DEA"/>
    <w:rsid w:val="0043391F"/>
    <w:rsid w:val="0043560B"/>
    <w:rsid w:val="00435732"/>
    <w:rsid w:val="00442668"/>
    <w:rsid w:val="00444253"/>
    <w:rsid w:val="00450F1D"/>
    <w:rsid w:val="00463911"/>
    <w:rsid w:val="004657F7"/>
    <w:rsid w:val="00470FD0"/>
    <w:rsid w:val="004823FC"/>
    <w:rsid w:val="004834D7"/>
    <w:rsid w:val="00491A38"/>
    <w:rsid w:val="00497481"/>
    <w:rsid w:val="004B0345"/>
    <w:rsid w:val="004B708A"/>
    <w:rsid w:val="004C4CF3"/>
    <w:rsid w:val="004D1EC4"/>
    <w:rsid w:val="004D677A"/>
    <w:rsid w:val="004E0545"/>
    <w:rsid w:val="004E11F4"/>
    <w:rsid w:val="004E76BC"/>
    <w:rsid w:val="004F324E"/>
    <w:rsid w:val="004F426F"/>
    <w:rsid w:val="00504A92"/>
    <w:rsid w:val="005071DA"/>
    <w:rsid w:val="0051398D"/>
    <w:rsid w:val="00514A9F"/>
    <w:rsid w:val="0052271C"/>
    <w:rsid w:val="00523281"/>
    <w:rsid w:val="005349DB"/>
    <w:rsid w:val="005403D3"/>
    <w:rsid w:val="00541588"/>
    <w:rsid w:val="005416E0"/>
    <w:rsid w:val="00554003"/>
    <w:rsid w:val="0055612C"/>
    <w:rsid w:val="00566D11"/>
    <w:rsid w:val="00572086"/>
    <w:rsid w:val="0057282B"/>
    <w:rsid w:val="00573624"/>
    <w:rsid w:val="00586539"/>
    <w:rsid w:val="00592154"/>
    <w:rsid w:val="0059283A"/>
    <w:rsid w:val="0059459D"/>
    <w:rsid w:val="005959BD"/>
    <w:rsid w:val="005A5E90"/>
    <w:rsid w:val="005B0160"/>
    <w:rsid w:val="005B1B2C"/>
    <w:rsid w:val="005E52B8"/>
    <w:rsid w:val="005F4971"/>
    <w:rsid w:val="00622936"/>
    <w:rsid w:val="006339F9"/>
    <w:rsid w:val="006351A3"/>
    <w:rsid w:val="006415CA"/>
    <w:rsid w:val="00647182"/>
    <w:rsid w:val="006543B6"/>
    <w:rsid w:val="006630D9"/>
    <w:rsid w:val="0066430A"/>
    <w:rsid w:val="006751F1"/>
    <w:rsid w:val="00676D77"/>
    <w:rsid w:val="00687468"/>
    <w:rsid w:val="00687573"/>
    <w:rsid w:val="00687933"/>
    <w:rsid w:val="00690FCC"/>
    <w:rsid w:val="00691833"/>
    <w:rsid w:val="006B47CB"/>
    <w:rsid w:val="006C1244"/>
    <w:rsid w:val="006D04F8"/>
    <w:rsid w:val="006D3299"/>
    <w:rsid w:val="006D72EA"/>
    <w:rsid w:val="006D7D9B"/>
    <w:rsid w:val="006E20E4"/>
    <w:rsid w:val="006E56CE"/>
    <w:rsid w:val="006E6D42"/>
    <w:rsid w:val="006F67B6"/>
    <w:rsid w:val="006F683A"/>
    <w:rsid w:val="007043FC"/>
    <w:rsid w:val="00705454"/>
    <w:rsid w:val="00705C95"/>
    <w:rsid w:val="007115D7"/>
    <w:rsid w:val="007131E3"/>
    <w:rsid w:val="00715E47"/>
    <w:rsid w:val="00722219"/>
    <w:rsid w:val="00722A3F"/>
    <w:rsid w:val="007335C6"/>
    <w:rsid w:val="00747BDD"/>
    <w:rsid w:val="00750F9B"/>
    <w:rsid w:val="00755275"/>
    <w:rsid w:val="00757CC7"/>
    <w:rsid w:val="00764200"/>
    <w:rsid w:val="00765E52"/>
    <w:rsid w:val="007702BD"/>
    <w:rsid w:val="00775FEE"/>
    <w:rsid w:val="00783197"/>
    <w:rsid w:val="007837EB"/>
    <w:rsid w:val="00791CD5"/>
    <w:rsid w:val="007920CC"/>
    <w:rsid w:val="007A1888"/>
    <w:rsid w:val="007A660F"/>
    <w:rsid w:val="007A7278"/>
    <w:rsid w:val="007B4A2C"/>
    <w:rsid w:val="007B7B83"/>
    <w:rsid w:val="007C172C"/>
    <w:rsid w:val="007C259A"/>
    <w:rsid w:val="007C4171"/>
    <w:rsid w:val="007C591F"/>
    <w:rsid w:val="007E4A66"/>
    <w:rsid w:val="007E4B0A"/>
    <w:rsid w:val="007E4E51"/>
    <w:rsid w:val="007F625B"/>
    <w:rsid w:val="008011E2"/>
    <w:rsid w:val="00804E60"/>
    <w:rsid w:val="00804F08"/>
    <w:rsid w:val="00805BC3"/>
    <w:rsid w:val="008123DA"/>
    <w:rsid w:val="008144A9"/>
    <w:rsid w:val="00815D3C"/>
    <w:rsid w:val="00824963"/>
    <w:rsid w:val="00827847"/>
    <w:rsid w:val="00827F4F"/>
    <w:rsid w:val="008323AE"/>
    <w:rsid w:val="00833F74"/>
    <w:rsid w:val="0083712B"/>
    <w:rsid w:val="00837174"/>
    <w:rsid w:val="00842E04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70CA5"/>
    <w:rsid w:val="008770A0"/>
    <w:rsid w:val="0088562C"/>
    <w:rsid w:val="00886D44"/>
    <w:rsid w:val="008909E3"/>
    <w:rsid w:val="008B1659"/>
    <w:rsid w:val="008C0A98"/>
    <w:rsid w:val="008C33FA"/>
    <w:rsid w:val="008C4F62"/>
    <w:rsid w:val="008E059F"/>
    <w:rsid w:val="008E2CA4"/>
    <w:rsid w:val="008F540D"/>
    <w:rsid w:val="00911F85"/>
    <w:rsid w:val="00914E51"/>
    <w:rsid w:val="0091624C"/>
    <w:rsid w:val="0091769D"/>
    <w:rsid w:val="00922280"/>
    <w:rsid w:val="00927EF9"/>
    <w:rsid w:val="0093458A"/>
    <w:rsid w:val="0094245B"/>
    <w:rsid w:val="009457D7"/>
    <w:rsid w:val="00945D2F"/>
    <w:rsid w:val="00952E61"/>
    <w:rsid w:val="0095734C"/>
    <w:rsid w:val="009620EA"/>
    <w:rsid w:val="00975AB0"/>
    <w:rsid w:val="00981DCD"/>
    <w:rsid w:val="0098356B"/>
    <w:rsid w:val="009A38D3"/>
    <w:rsid w:val="009A498B"/>
    <w:rsid w:val="009A6C28"/>
    <w:rsid w:val="009B3737"/>
    <w:rsid w:val="009B45CD"/>
    <w:rsid w:val="009B55B6"/>
    <w:rsid w:val="009C7C5E"/>
    <w:rsid w:val="009E1252"/>
    <w:rsid w:val="009E1513"/>
    <w:rsid w:val="009F4252"/>
    <w:rsid w:val="009F46CD"/>
    <w:rsid w:val="00A042CA"/>
    <w:rsid w:val="00A07DA4"/>
    <w:rsid w:val="00A11390"/>
    <w:rsid w:val="00A4484A"/>
    <w:rsid w:val="00A46861"/>
    <w:rsid w:val="00A51402"/>
    <w:rsid w:val="00A564EA"/>
    <w:rsid w:val="00A61109"/>
    <w:rsid w:val="00A61171"/>
    <w:rsid w:val="00A7050D"/>
    <w:rsid w:val="00A739DD"/>
    <w:rsid w:val="00A76534"/>
    <w:rsid w:val="00A76D0B"/>
    <w:rsid w:val="00A82B8D"/>
    <w:rsid w:val="00A82E40"/>
    <w:rsid w:val="00A87637"/>
    <w:rsid w:val="00A90BA7"/>
    <w:rsid w:val="00A93784"/>
    <w:rsid w:val="00A96AC6"/>
    <w:rsid w:val="00A97FBA"/>
    <w:rsid w:val="00AA0734"/>
    <w:rsid w:val="00AA25EE"/>
    <w:rsid w:val="00AA4E2F"/>
    <w:rsid w:val="00AA7677"/>
    <w:rsid w:val="00AE65A0"/>
    <w:rsid w:val="00AE75A5"/>
    <w:rsid w:val="00AF41AF"/>
    <w:rsid w:val="00AF778B"/>
    <w:rsid w:val="00B00CF3"/>
    <w:rsid w:val="00B17EEA"/>
    <w:rsid w:val="00B22818"/>
    <w:rsid w:val="00B22FA0"/>
    <w:rsid w:val="00B2616F"/>
    <w:rsid w:val="00B26822"/>
    <w:rsid w:val="00B26E40"/>
    <w:rsid w:val="00B26E44"/>
    <w:rsid w:val="00B32FFE"/>
    <w:rsid w:val="00B414E5"/>
    <w:rsid w:val="00B51941"/>
    <w:rsid w:val="00B579ED"/>
    <w:rsid w:val="00B66F74"/>
    <w:rsid w:val="00B70BAD"/>
    <w:rsid w:val="00B77C97"/>
    <w:rsid w:val="00B81668"/>
    <w:rsid w:val="00B817AF"/>
    <w:rsid w:val="00B9400F"/>
    <w:rsid w:val="00BA0008"/>
    <w:rsid w:val="00BA509B"/>
    <w:rsid w:val="00BA652E"/>
    <w:rsid w:val="00BB06FD"/>
    <w:rsid w:val="00BC1CBF"/>
    <w:rsid w:val="00BE13CA"/>
    <w:rsid w:val="00BE5E7F"/>
    <w:rsid w:val="00BF7369"/>
    <w:rsid w:val="00C00A42"/>
    <w:rsid w:val="00C01AE7"/>
    <w:rsid w:val="00C02FE1"/>
    <w:rsid w:val="00C15513"/>
    <w:rsid w:val="00C27C62"/>
    <w:rsid w:val="00C415B2"/>
    <w:rsid w:val="00C454D0"/>
    <w:rsid w:val="00C46828"/>
    <w:rsid w:val="00C47579"/>
    <w:rsid w:val="00C47C56"/>
    <w:rsid w:val="00C50320"/>
    <w:rsid w:val="00C511CA"/>
    <w:rsid w:val="00C638C2"/>
    <w:rsid w:val="00C64D67"/>
    <w:rsid w:val="00C67943"/>
    <w:rsid w:val="00C73C5C"/>
    <w:rsid w:val="00C74B67"/>
    <w:rsid w:val="00C75A2A"/>
    <w:rsid w:val="00C8641F"/>
    <w:rsid w:val="00CA4BFB"/>
    <w:rsid w:val="00CA56F9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D10F4"/>
    <w:rsid w:val="00CE1217"/>
    <w:rsid w:val="00CE14D9"/>
    <w:rsid w:val="00CF5038"/>
    <w:rsid w:val="00D03D12"/>
    <w:rsid w:val="00D122AF"/>
    <w:rsid w:val="00D16275"/>
    <w:rsid w:val="00D2460C"/>
    <w:rsid w:val="00D262B5"/>
    <w:rsid w:val="00D27758"/>
    <w:rsid w:val="00D36D97"/>
    <w:rsid w:val="00D4464D"/>
    <w:rsid w:val="00D52DF6"/>
    <w:rsid w:val="00D5544E"/>
    <w:rsid w:val="00D56F16"/>
    <w:rsid w:val="00D607C9"/>
    <w:rsid w:val="00D673BA"/>
    <w:rsid w:val="00D72575"/>
    <w:rsid w:val="00D7266B"/>
    <w:rsid w:val="00D73D1F"/>
    <w:rsid w:val="00D7695F"/>
    <w:rsid w:val="00D774D1"/>
    <w:rsid w:val="00D84C0B"/>
    <w:rsid w:val="00D92F17"/>
    <w:rsid w:val="00D93A2C"/>
    <w:rsid w:val="00DA1733"/>
    <w:rsid w:val="00DB03D7"/>
    <w:rsid w:val="00DB662E"/>
    <w:rsid w:val="00DC2A9F"/>
    <w:rsid w:val="00DD003D"/>
    <w:rsid w:val="00DD034E"/>
    <w:rsid w:val="00DD36A3"/>
    <w:rsid w:val="00DD599D"/>
    <w:rsid w:val="00DD6A3A"/>
    <w:rsid w:val="00DE28B3"/>
    <w:rsid w:val="00DE6CCD"/>
    <w:rsid w:val="00DE70AF"/>
    <w:rsid w:val="00DF201C"/>
    <w:rsid w:val="00DF4963"/>
    <w:rsid w:val="00E016F5"/>
    <w:rsid w:val="00E01BE7"/>
    <w:rsid w:val="00E03CF2"/>
    <w:rsid w:val="00E20177"/>
    <w:rsid w:val="00E20E87"/>
    <w:rsid w:val="00E2216E"/>
    <w:rsid w:val="00E321B5"/>
    <w:rsid w:val="00E3515D"/>
    <w:rsid w:val="00E36232"/>
    <w:rsid w:val="00E43F0B"/>
    <w:rsid w:val="00E445C3"/>
    <w:rsid w:val="00E47811"/>
    <w:rsid w:val="00E51A6F"/>
    <w:rsid w:val="00E540D4"/>
    <w:rsid w:val="00E55BA5"/>
    <w:rsid w:val="00E57343"/>
    <w:rsid w:val="00E64934"/>
    <w:rsid w:val="00E83E09"/>
    <w:rsid w:val="00E8689A"/>
    <w:rsid w:val="00E87995"/>
    <w:rsid w:val="00E91551"/>
    <w:rsid w:val="00E9323A"/>
    <w:rsid w:val="00E937A2"/>
    <w:rsid w:val="00EA0DED"/>
    <w:rsid w:val="00EA36D5"/>
    <w:rsid w:val="00EB67DA"/>
    <w:rsid w:val="00EC550D"/>
    <w:rsid w:val="00ED27B9"/>
    <w:rsid w:val="00EE05FC"/>
    <w:rsid w:val="00EE1889"/>
    <w:rsid w:val="00EE23E5"/>
    <w:rsid w:val="00EE2F47"/>
    <w:rsid w:val="00EE6F32"/>
    <w:rsid w:val="00EF1618"/>
    <w:rsid w:val="00EF4E75"/>
    <w:rsid w:val="00F01C77"/>
    <w:rsid w:val="00F02F4C"/>
    <w:rsid w:val="00F03830"/>
    <w:rsid w:val="00F03964"/>
    <w:rsid w:val="00F03E60"/>
    <w:rsid w:val="00F070C3"/>
    <w:rsid w:val="00F2279C"/>
    <w:rsid w:val="00F37D3A"/>
    <w:rsid w:val="00F406AE"/>
    <w:rsid w:val="00F40837"/>
    <w:rsid w:val="00F45518"/>
    <w:rsid w:val="00F51415"/>
    <w:rsid w:val="00F5179D"/>
    <w:rsid w:val="00F52ADF"/>
    <w:rsid w:val="00F52D52"/>
    <w:rsid w:val="00F6313D"/>
    <w:rsid w:val="00F63FC7"/>
    <w:rsid w:val="00F8370D"/>
    <w:rsid w:val="00F86146"/>
    <w:rsid w:val="00F868C1"/>
    <w:rsid w:val="00F94EC9"/>
    <w:rsid w:val="00F97602"/>
    <w:rsid w:val="00FA1A68"/>
    <w:rsid w:val="00FA288F"/>
    <w:rsid w:val="00FA579D"/>
    <w:rsid w:val="00FA58CA"/>
    <w:rsid w:val="00FB3DD9"/>
    <w:rsid w:val="00FC1581"/>
    <w:rsid w:val="00FC6DEA"/>
    <w:rsid w:val="00FD318A"/>
    <w:rsid w:val="00FE0629"/>
    <w:rsid w:val="00FE4091"/>
    <w:rsid w:val="00FE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EB67D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4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4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4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4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190780@mail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0680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stivska-rda.gov.ua/upravlinnya-socialnogo-zahistu-naselennya-rajderzhadministracii-15-15-55-16-12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59EB-6F2B-41DF-AEF5-97EE4F30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4206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amotrich</cp:lastModifiedBy>
  <cp:revision>2</cp:revision>
  <cp:lastPrinted>2021-01-15T07:12:00Z</cp:lastPrinted>
  <dcterms:created xsi:type="dcterms:W3CDTF">2025-02-17T07:48:00Z</dcterms:created>
  <dcterms:modified xsi:type="dcterms:W3CDTF">2025-02-17T07:48:00Z</dcterms:modified>
</cp:coreProperties>
</file>