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4" w:after="0"/>
        <w:ind w:left="5223" w:hanging="0"/>
        <w:jc w:val="left"/>
        <w:rPr/>
      </w:pPr>
      <w:r>
        <w:rPr/>
        <w:t>ЗАТВЕРДЖЕНО</w:t>
      </w:r>
    </w:p>
    <w:p>
      <w:pPr>
        <w:pStyle w:val="Normal"/>
        <w:ind w:left="5223" w:hanging="0"/>
        <w:jc w:val="left"/>
        <w:rPr/>
      </w:pPr>
      <w:r>
        <w:rPr/>
        <w:t>Наказ</w:t>
      </w:r>
      <w:r>
        <w:rPr>
          <w:spacing w:val="-11"/>
        </w:rPr>
        <w:t xml:space="preserve"> Головного управління </w:t>
      </w:r>
      <w:r>
        <w:rPr/>
        <w:t>Пенсійного</w:t>
      </w:r>
      <w:r>
        <w:rPr>
          <w:spacing w:val="-11"/>
        </w:rPr>
        <w:t xml:space="preserve"> </w:t>
      </w:r>
      <w:r>
        <w:rPr/>
        <w:t>фонду</w:t>
      </w:r>
      <w:r>
        <w:rPr>
          <w:spacing w:val="-11"/>
        </w:rPr>
        <w:t xml:space="preserve"> </w:t>
      </w:r>
      <w:r>
        <w:rPr/>
        <w:t>України у Київській області</w:t>
      </w:r>
    </w:p>
    <w:p>
      <w:pPr>
        <w:pStyle w:val="Normal"/>
        <w:tabs>
          <w:tab w:val="clear" w:pos="708"/>
          <w:tab w:val="left" w:pos="7387" w:leader="none"/>
          <w:tab w:val="left" w:pos="8214" w:leader="none"/>
        </w:tabs>
        <w:ind w:left="5223" w:hanging="0"/>
        <w:jc w:val="left"/>
        <w:rPr>
          <w:spacing w:val="-1"/>
        </w:rPr>
      </w:pPr>
      <w:r>
        <w:rPr/>
        <w:t>06.08.2025</w:t>
      </w:r>
      <w:r>
        <w:rPr/>
        <w:t xml:space="preserve"> №</w:t>
      </w:r>
      <w:r>
        <w:rPr>
          <w:spacing w:val="-1"/>
        </w:rPr>
        <w:t xml:space="preserve"> </w:t>
      </w:r>
      <w:r>
        <w:rPr>
          <w:spacing w:val="-1"/>
        </w:rPr>
        <w:t>4117</w:t>
      </w:r>
    </w:p>
    <w:p>
      <w:pPr>
        <w:pStyle w:val="Normal"/>
        <w:tabs>
          <w:tab w:val="clear" w:pos="708"/>
          <w:tab w:val="left" w:pos="7387" w:leader="none"/>
          <w:tab w:val="left" w:pos="8214" w:leader="none"/>
        </w:tabs>
        <w:ind w:left="5223" w:hanging="0"/>
        <w:rPr>
          <w:spacing w:val="-1"/>
        </w:rPr>
      </w:pPr>
      <w:r>
        <w:rPr>
          <w:spacing w:val="-1"/>
        </w:rPr>
      </w:r>
    </w:p>
    <w:p>
      <w:pPr>
        <w:pStyle w:val="Normal"/>
        <w:tabs>
          <w:tab w:val="clear" w:pos="708"/>
          <w:tab w:val="left" w:pos="7387" w:leader="none"/>
          <w:tab w:val="left" w:pos="8214" w:leader="none"/>
        </w:tabs>
        <w:ind w:left="5223" w:hanging="0"/>
        <w:rPr/>
      </w:pPr>
      <w:r>
        <w:rPr/>
      </w:r>
    </w:p>
    <w:p>
      <w:pPr>
        <w:pStyle w:val="Normal"/>
        <w:spacing w:before="88" w:after="0"/>
        <w:ind w:left="2599" w:right="2663" w:hanging="0"/>
        <w:jc w:val="center"/>
        <w:rPr>
          <w:b/>
          <w:b/>
        </w:rPr>
      </w:pPr>
      <w:r>
        <w:rPr>
          <w:b/>
        </w:rPr>
        <w:t>ІНФОРМАЦІЙНА</w:t>
      </w:r>
      <w:r>
        <w:rPr>
          <w:b/>
          <w:spacing w:val="-8"/>
        </w:rPr>
        <w:t xml:space="preserve"> </w:t>
      </w:r>
      <w:r>
        <w:rPr>
          <w:b/>
        </w:rPr>
        <w:t>КАРТКА</w:t>
      </w:r>
    </w:p>
    <w:p>
      <w:pPr>
        <w:pStyle w:val="Default"/>
        <w:jc w:val="center"/>
        <w:rPr>
          <w:sz w:val="28"/>
          <w:szCs w:val="28"/>
        </w:rPr>
      </w:pPr>
      <w:r>
        <w:rPr>
          <w:b/>
          <w:color w:val="auto"/>
          <w:sz w:val="28"/>
          <w:szCs w:val="28"/>
        </w:rPr>
        <w:t xml:space="preserve">адміністративної послуги з призначення грошової компенсації вартості одноразової натуральної допомоги “Пакунок малюка” </w:t>
      </w:r>
    </w:p>
    <w:p>
      <w:pPr>
        <w:pStyle w:val="Normal"/>
        <w:widowControl w:val="false"/>
        <w:suppressAutoHyphens w:val="true"/>
        <w:bidi w:val="0"/>
        <w:spacing w:lineRule="auto" w:line="240" w:before="0" w:after="0"/>
        <w:ind w:left="964" w:right="1020" w:hanging="0"/>
        <w:jc w:val="center"/>
        <w:rPr>
          <w:b/>
          <w:b/>
          <w:bCs/>
          <w:sz w:val="28"/>
        </w:rPr>
      </w:pPr>
      <w:r>
        <w:rPr>
          <w:rFonts w:eastAsia="Times New Roman" w:cs="Times New Roman"/>
          <w:b/>
          <w:bCs/>
          <w:color w:val="auto"/>
          <w:spacing w:val="-7"/>
          <w:kern w:val="0"/>
          <w:sz w:val="28"/>
          <w:szCs w:val="28"/>
          <w:lang w:val="uk-UA" w:eastAsia="en-US" w:bidi="ar-SA"/>
        </w:rPr>
        <w:t>Головне управління  Пенсійного фонду України у Київській області</w:t>
      </w:r>
    </w:p>
    <w:p>
      <w:pPr>
        <w:pStyle w:val="Normal"/>
        <w:jc w:val="center"/>
        <w:rPr>
          <w:szCs w:val="28"/>
        </w:rPr>
      </w:pPr>
      <w:r>
        <w:rPr>
          <w:szCs w:val="28"/>
        </w:rPr>
        <w:t>(найменування суб’єкта надання адміністративної послуги / центру надання адміністративних послуг)</w:t>
      </w:r>
    </w:p>
    <w:p>
      <w:pPr>
        <w:pStyle w:val="Normal"/>
        <w:jc w:val="center"/>
        <w:rPr>
          <w:szCs w:val="28"/>
        </w:rPr>
      </w:pPr>
      <w:r>
        <w:rPr>
          <w:szCs w:val="28"/>
        </w:rPr>
      </w:r>
    </w:p>
    <w:tbl>
      <w:tblPr>
        <w:tblW w:w="4950" w:type="pct"/>
        <w:jc w:val="left"/>
        <w:tblInd w:w="60" w:type="dxa"/>
        <w:tblLayout w:type="fixed"/>
        <w:tblCellMar>
          <w:top w:w="60" w:type="dxa"/>
          <w:left w:w="60" w:type="dxa"/>
          <w:bottom w:w="60" w:type="dxa"/>
          <w:right w:w="60" w:type="dxa"/>
        </w:tblCellMar>
        <w:tblLook w:firstRow="1" w:noVBand="1" w:lastRow="0" w:firstColumn="1" w:lastColumn="0" w:noHBand="0" w:val="04a0"/>
      </w:tblPr>
      <w:tblGrid>
        <w:gridCol w:w="406"/>
        <w:gridCol w:w="2713"/>
        <w:gridCol w:w="6422"/>
      </w:tblGrid>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bookmarkStart w:id="0" w:name="n14"/>
            <w:bookmarkEnd w:id="0"/>
            <w:r>
              <w:rPr>
                <w:b/>
                <w:sz w:val="28"/>
                <w:szCs w:val="28"/>
              </w:rPr>
              <w:t>Інформація про суб’єкта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w:t>
            </w:r>
          </w:p>
        </w:tc>
        <w:tc>
          <w:tcPr>
            <w:tcW w:w="2713"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Місцезнаходження</w:t>
            </w:r>
          </w:p>
        </w:tc>
        <w:tc>
          <w:tcPr>
            <w:tcW w:w="6422" w:type="dxa"/>
            <w:tcBorders>
              <w:top w:val="outset" w:sz="6" w:space="0" w:color="000000"/>
              <w:left w:val="outset" w:sz="6" w:space="0" w:color="000000"/>
              <w:bottom w:val="outset" w:sz="6" w:space="0" w:color="000000"/>
              <w:right w:val="outset" w:sz="6" w:space="0" w:color="000000"/>
            </w:tcBorders>
          </w:tcPr>
          <w:p>
            <w:pPr>
              <w:pStyle w:val="NormalWeb"/>
              <w:widowControl w:val="false"/>
              <w:tabs>
                <w:tab w:val="clear" w:pos="708"/>
                <w:tab w:val="left" w:pos="229" w:leader="none"/>
              </w:tabs>
              <w:suppressAutoHyphens w:val="true"/>
              <w:bidi w:val="0"/>
              <w:spacing w:lineRule="auto" w:line="240" w:before="0" w:after="0"/>
              <w:ind w:left="0" w:right="0" w:hanging="0"/>
              <w:jc w:val="left"/>
              <w:rPr>
                <w:sz w:val="28"/>
                <w:szCs w:val="28"/>
              </w:rPr>
            </w:pPr>
            <w:r>
              <w:rPr>
                <w:rFonts w:eastAsia="Times New Roman" w:cs="Times New Roman"/>
                <w:i w:val="false"/>
                <w:iCs w:val="false"/>
                <w:color w:val="auto"/>
                <w:kern w:val="0"/>
                <w:sz w:val="28"/>
                <w:szCs w:val="28"/>
                <w:lang w:val="uk-UA" w:eastAsia="en-US" w:bidi="ar-SA"/>
              </w:rPr>
              <w:t>Юридична адреса: Київська область, м.Фастів, вул. Саєнка Андрія, 10</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2</w:t>
            </w:r>
          </w:p>
        </w:tc>
        <w:tc>
          <w:tcPr>
            <w:tcW w:w="2713"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Інформація щодо режиму роботи</w:t>
            </w:r>
          </w:p>
        </w:tc>
        <w:tc>
          <w:tcPr>
            <w:tcW w:w="6422" w:type="dxa"/>
            <w:tcBorders>
              <w:top w:val="outset" w:sz="6" w:space="0" w:color="000000"/>
              <w:left w:val="outset" w:sz="6" w:space="0" w:color="000000"/>
              <w:bottom w:val="outset" w:sz="6" w:space="0" w:color="000000"/>
              <w:right w:val="outset" w:sz="6" w:space="0" w:color="000000"/>
            </w:tcBorders>
          </w:tcPr>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hanging="0"/>
              <w:jc w:val="both"/>
              <w:rPr>
                <w:rFonts w:ascii="Times New Roman" w:hAnsi="Times New Roman" w:eastAsia="Times New Roman" w:cs="Times New Roman"/>
                <w:color w:val="auto"/>
                <w:kern w:val="0"/>
                <w:sz w:val="28"/>
                <w:szCs w:val="28"/>
                <w:lang w:val="uk-UA" w:eastAsia="en-US" w:bidi="ar-SA"/>
              </w:rPr>
            </w:pPr>
            <w:r>
              <w:rPr>
                <w:rFonts w:eastAsia="Times New Roman" w:cs="Times New Roman"/>
                <w:strike w:val="false"/>
                <w:dstrike w:val="false"/>
                <w:color w:val="auto"/>
                <w:kern w:val="0"/>
                <w:sz w:val="28"/>
                <w:szCs w:val="28"/>
                <w:lang w:val="uk-UA" w:eastAsia="en-US" w:bidi="ar-SA"/>
              </w:rPr>
              <w:t>Понеділок- четвер: 08.00-17.00</w:t>
            </w:r>
          </w:p>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hanging="0"/>
              <w:jc w:val="both"/>
              <w:rPr>
                <w:rFonts w:ascii="Times New Roman" w:hAnsi="Times New Roman" w:eastAsia="Times New Roman" w:cs="Times New Roman"/>
                <w:color w:val="auto"/>
                <w:kern w:val="0"/>
                <w:sz w:val="28"/>
                <w:szCs w:val="28"/>
                <w:lang w:val="uk-UA" w:eastAsia="en-US" w:bidi="ar-SA"/>
              </w:rPr>
            </w:pPr>
            <w:r>
              <w:rPr>
                <w:rStyle w:val="Style17"/>
                <w:rFonts w:eastAsia="Times New Roman" w:cs="Times New Roman"/>
                <w:i w:val="false"/>
                <w:strike w:val="false"/>
                <w:dstrike w:val="false"/>
                <w:color w:val="auto"/>
                <w:kern w:val="0"/>
                <w:sz w:val="28"/>
                <w:szCs w:val="28"/>
                <w:lang w:val="uk-UA" w:eastAsia="en-US" w:bidi="ar-SA"/>
              </w:rPr>
              <w:t>П'ятниця: 08.00-15.45</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3</w:t>
            </w:r>
          </w:p>
        </w:tc>
        <w:tc>
          <w:tcPr>
            <w:tcW w:w="2713"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Телефон, адреса</w:t>
            </w:r>
          </w:p>
          <w:p>
            <w:pPr>
              <w:pStyle w:val="Normal"/>
              <w:widowControl w:val="false"/>
              <w:jc w:val="left"/>
              <w:rPr>
                <w:sz w:val="28"/>
                <w:szCs w:val="28"/>
              </w:rPr>
            </w:pPr>
            <w:r>
              <w:rPr>
                <w:sz w:val="28"/>
                <w:szCs w:val="28"/>
              </w:rPr>
              <w:t>електронної пошти,</w:t>
            </w:r>
          </w:p>
          <w:p>
            <w:pPr>
              <w:pStyle w:val="Normal"/>
              <w:widowControl w:val="false"/>
              <w:jc w:val="left"/>
              <w:rPr>
                <w:sz w:val="28"/>
                <w:szCs w:val="28"/>
              </w:rPr>
            </w:pPr>
            <w:r>
              <w:rPr>
                <w:sz w:val="28"/>
                <w:szCs w:val="28"/>
              </w:rPr>
              <w:t>вебсайт</w:t>
            </w:r>
          </w:p>
        </w:tc>
        <w:tc>
          <w:tcPr>
            <w:tcW w:w="6422" w:type="dxa"/>
            <w:tcBorders>
              <w:top w:val="outset" w:sz="6" w:space="0" w:color="000000"/>
              <w:left w:val="outset" w:sz="6" w:space="0" w:color="000000"/>
              <w:bottom w:val="outset" w:sz="6" w:space="0" w:color="000000"/>
              <w:right w:val="outset" w:sz="6" w:space="0" w:color="000000"/>
            </w:tcBorders>
          </w:tcPr>
          <w:p>
            <w:pPr>
              <w:pStyle w:val="TableParagraph"/>
              <w:widowControl w:val="false"/>
              <w:suppressAutoHyphens w:val="true"/>
              <w:bidi w:val="0"/>
              <w:spacing w:lineRule="auto" w:line="240" w:before="0" w:after="0"/>
              <w:ind w:left="57" w:right="57" w:hanging="0"/>
              <w:jc w:val="left"/>
              <w:rPr>
                <w:i w:val="false"/>
                <w:i w:val="false"/>
                <w:iCs w:val="false"/>
                <w:sz w:val="28"/>
                <w:szCs w:val="28"/>
              </w:rPr>
            </w:pPr>
            <w:r>
              <w:rPr>
                <w:rFonts w:eastAsia="Times New Roman" w:cs="Times New Roman"/>
                <w:i w:val="false"/>
                <w:iCs w:val="false"/>
                <w:color w:val="auto"/>
                <w:kern w:val="0"/>
                <w:sz w:val="28"/>
                <w:szCs w:val="28"/>
                <w:lang w:val="uk-UA" w:eastAsia="en-US" w:bidi="ar-SA"/>
              </w:rPr>
              <w:t>0 800 505 780</w:t>
            </w:r>
          </w:p>
          <w:p>
            <w:pPr>
              <w:pStyle w:val="TableParagraph"/>
              <w:widowControl w:val="false"/>
              <w:suppressAutoHyphens w:val="true"/>
              <w:bidi w:val="0"/>
              <w:spacing w:lineRule="auto" w:line="240" w:before="0" w:after="0"/>
              <w:ind w:left="57" w:right="57" w:hanging="0"/>
              <w:jc w:val="left"/>
              <w:rPr>
                <w:i w:val="false"/>
                <w:i w:val="false"/>
                <w:iCs w:val="false"/>
              </w:rPr>
            </w:pPr>
            <w:hyperlink r:id="rId2">
              <w:r>
                <w:rPr>
                  <w:i w:val="false"/>
                  <w:iCs w:val="false"/>
                  <w:color w:val="000000"/>
                  <w:kern w:val="0"/>
                  <w:sz w:val="28"/>
                  <w:szCs w:val="28"/>
                  <w:lang w:val="ru-RU" w:eastAsia="en-US" w:bidi="ar-SA"/>
                </w:rPr>
                <w:t>gu</w:t>
              </w:r>
              <w:r>
                <w:rPr>
                  <w:i w:val="false"/>
                  <w:iCs w:val="false"/>
                  <w:color w:val="000000"/>
                  <w:kern w:val="0"/>
                  <w:sz w:val="28"/>
                  <w:szCs w:val="28"/>
                  <w:lang w:val="en-US" w:eastAsia="en-US" w:bidi="ar-SA"/>
                </w:rPr>
                <w:t>@</w:t>
              </w:r>
              <w:r>
                <w:rPr>
                  <w:i w:val="false"/>
                  <w:iCs w:val="false"/>
                  <w:color w:val="000000"/>
                  <w:kern w:val="0"/>
                  <w:sz w:val="28"/>
                  <w:szCs w:val="28"/>
                  <w:lang w:val="ru-RU" w:eastAsia="en-US" w:bidi="ar-SA"/>
                </w:rPr>
                <w:t>ko</w:t>
              </w:r>
              <w:r>
                <w:rPr>
                  <w:i w:val="false"/>
                  <w:iCs w:val="false"/>
                  <w:color w:val="000000"/>
                  <w:kern w:val="0"/>
                  <w:sz w:val="28"/>
                  <w:szCs w:val="28"/>
                  <w:lang w:val="en-US" w:eastAsia="en-US" w:bidi="ar-SA"/>
                </w:rPr>
                <w:t>.</w:t>
              </w:r>
              <w:r>
                <w:rPr>
                  <w:i w:val="false"/>
                  <w:iCs w:val="false"/>
                  <w:color w:val="000000"/>
                  <w:kern w:val="0"/>
                  <w:sz w:val="28"/>
                  <w:szCs w:val="28"/>
                  <w:lang w:val="ru-RU" w:eastAsia="en-US" w:bidi="ar-SA"/>
                </w:rPr>
                <w:t>pfu</w:t>
              </w:r>
              <w:r>
                <w:rPr>
                  <w:i w:val="false"/>
                  <w:iCs w:val="false"/>
                  <w:color w:val="000000"/>
                  <w:kern w:val="0"/>
                  <w:sz w:val="28"/>
                  <w:szCs w:val="28"/>
                  <w:lang w:val="en-US" w:eastAsia="en-US" w:bidi="ar-SA"/>
                </w:rPr>
                <w:t>.</w:t>
              </w:r>
              <w:r>
                <w:rPr>
                  <w:i w:val="false"/>
                  <w:iCs w:val="false"/>
                  <w:color w:val="000000"/>
                  <w:kern w:val="0"/>
                  <w:sz w:val="28"/>
                  <w:szCs w:val="28"/>
                  <w:lang w:val="ru-RU" w:eastAsia="en-US" w:bidi="ar-SA"/>
                </w:rPr>
                <w:t>gov</w:t>
              </w:r>
              <w:r>
                <w:rPr>
                  <w:i w:val="false"/>
                  <w:iCs w:val="false"/>
                  <w:color w:val="000000"/>
                  <w:kern w:val="0"/>
                  <w:sz w:val="28"/>
                  <w:szCs w:val="28"/>
                  <w:lang w:val="en-US" w:eastAsia="en-US" w:bidi="ar-SA"/>
                </w:rPr>
                <w:t>.</w:t>
              </w:r>
              <w:r>
                <w:rPr>
                  <w:i w:val="false"/>
                  <w:iCs w:val="false"/>
                  <w:color w:val="000000"/>
                  <w:kern w:val="0"/>
                  <w:sz w:val="28"/>
                  <w:szCs w:val="28"/>
                  <w:lang w:val="ru-RU" w:eastAsia="en-US" w:bidi="ar-SA"/>
                </w:rPr>
                <w:t>ua</w:t>
              </w:r>
            </w:hyperlink>
          </w:p>
          <w:p>
            <w:pPr>
              <w:pStyle w:val="TableParagraph"/>
              <w:widowControl w:val="false"/>
              <w:tabs>
                <w:tab w:val="clear" w:pos="708"/>
                <w:tab w:val="left" w:pos="229" w:leader="none"/>
              </w:tabs>
              <w:suppressAutoHyphens w:val="true"/>
              <w:bidi w:val="0"/>
              <w:spacing w:lineRule="auto" w:line="240" w:before="0" w:after="0"/>
              <w:ind w:left="57" w:right="57" w:hanging="0"/>
              <w:jc w:val="left"/>
              <w:rPr>
                <w:i w:val="false"/>
                <w:i w:val="false"/>
                <w:iCs w:val="false"/>
              </w:rPr>
            </w:pPr>
            <w:hyperlink r:id="rId3">
              <w:r>
                <w:rPr>
                  <w:i w:val="false"/>
                  <w:iCs w:val="false"/>
                  <w:color w:val="000000"/>
                  <w:kern w:val="0"/>
                  <w:sz w:val="28"/>
                  <w:szCs w:val="28"/>
                  <w:lang w:val="en-US" w:eastAsia="en-US" w:bidi="ar-SA"/>
                </w:rPr>
                <w:t>http://www.pfu.gov.ua/ko/</w:t>
              </w:r>
            </w:hyperlink>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Нормативні акти, якими регламентується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4</w:t>
            </w:r>
          </w:p>
        </w:tc>
        <w:tc>
          <w:tcPr>
            <w:tcW w:w="2713"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Закони України</w:t>
            </w:r>
          </w:p>
        </w:tc>
        <w:tc>
          <w:tcPr>
            <w:tcW w:w="6422"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lang w:val="ru-RU"/>
              </w:rPr>
              <w:t>Закон України “Про державну допомогу сім’ям з дітьми”;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lang w:val="ru-RU"/>
              </w:rPr>
              <w:t>Закон України “Про адміністративну процедуру”.</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5</w:t>
            </w:r>
          </w:p>
        </w:tc>
        <w:tc>
          <w:tcPr>
            <w:tcW w:w="2713"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pPr>
            <w:r>
              <w:rPr>
                <w:sz w:val="28"/>
                <w:szCs w:val="28"/>
              </w:rPr>
              <w:t>Акти Кабінету Міністрів України</w:t>
            </w:r>
          </w:p>
        </w:tc>
        <w:tc>
          <w:tcPr>
            <w:tcW w:w="6422"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Порядок призначення та виплати грошової компенсації вартості одноразової натуральної допомоги “пакунок малюка”, затверджений постановою Кабінету Міністрів України від 04 лютого 2025 року № 114;</w:t>
            </w:r>
          </w:p>
          <w:p>
            <w:pPr>
              <w:pStyle w:val="Normal"/>
              <w:widowControl w:val="false"/>
              <w:tabs>
                <w:tab w:val="clear" w:pos="708"/>
                <w:tab w:val="left" w:pos="229" w:leader="none"/>
              </w:tabs>
              <w:ind w:firstLine="390"/>
              <w:rPr>
                <w:sz w:val="28"/>
                <w:szCs w:val="28"/>
              </w:rPr>
            </w:pPr>
            <w:r>
              <w:rPr>
                <w:sz w:val="28"/>
                <w:szCs w:val="28"/>
              </w:rPr>
              <w:t>Порядок надання комплексної електронної публічної послуги “єМалятко”, затверджений постановою Кабінету Міністрів України від 11 серпня 2023 року № 853;</w:t>
            </w:r>
          </w:p>
          <w:p>
            <w:pPr>
              <w:pStyle w:val="Normal"/>
              <w:widowControl w:val="false"/>
              <w:tabs>
                <w:tab w:val="clear" w:pos="708"/>
                <w:tab w:val="left" w:pos="229" w:leader="none"/>
              </w:tabs>
              <w:ind w:firstLine="390"/>
              <w:rPr>
                <w:sz w:val="28"/>
                <w:szCs w:val="28"/>
              </w:rPr>
            </w:pPr>
            <w:r>
              <w:rPr>
                <w:sz w:val="28"/>
                <w:szCs w:val="28"/>
              </w:rPr>
              <w:t>постанова Кабінету Міністрів України від 08 вересня 2016 року № 606 “Деякі питання електронної взаємодії електронних інформаційних ресурсів”.</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6</w:t>
            </w:r>
          </w:p>
        </w:tc>
        <w:tc>
          <w:tcPr>
            <w:tcW w:w="2713"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центральних органів виконавчої влади</w:t>
            </w:r>
          </w:p>
        </w:tc>
        <w:tc>
          <w:tcPr>
            <w:tcW w:w="6422"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color w:val="000000" w:themeColor="text1"/>
                <w:sz w:val="28"/>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Умови отримання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7</w:t>
            </w:r>
          </w:p>
        </w:tc>
        <w:tc>
          <w:tcPr>
            <w:tcW w:w="2713"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Особи, які мають право на отримання послуги</w:t>
            </w:r>
          </w:p>
        </w:tc>
        <w:tc>
          <w:tcPr>
            <w:tcW w:w="6422"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sz w:val="28"/>
                <w:szCs w:val="28"/>
              </w:rPr>
            </w:pPr>
            <w:r>
              <w:rPr>
                <w:color w:val="000000" w:themeColor="text1"/>
                <w:sz w:val="28"/>
                <w:szCs w:val="28"/>
                <w:shd w:fill="FFFFFF" w:val="clear"/>
              </w:rPr>
              <w:t>Батьки, у яких народилася дитина, а в разі їх відсутності – патронатні вихователі, прийомні батьки, батьки-вихователі, усиновлювачі, опікуни новонародженої дитини (якщо батьки відмовилися від новонародженої дитини в пологовому будинку (відділенні), перинатальному, неонатальному центрі) (далі – отримувачі) і забезпечують створення належних умов для догляду за нею та її виховання.</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8</w:t>
            </w:r>
          </w:p>
        </w:tc>
        <w:tc>
          <w:tcPr>
            <w:tcW w:w="2713"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Підстава для отримання послуги</w:t>
            </w:r>
          </w:p>
        </w:tc>
        <w:tc>
          <w:tcPr>
            <w:tcW w:w="6422" w:type="dxa"/>
            <w:tcBorders>
              <w:top w:val="outset" w:sz="6" w:space="0" w:color="000000"/>
              <w:left w:val="outset" w:sz="6" w:space="0" w:color="000000"/>
              <w:bottom w:val="outset" w:sz="6" w:space="0" w:color="000000"/>
              <w:right w:val="outset" w:sz="6" w:space="0" w:color="000000"/>
            </w:tcBorders>
          </w:tcPr>
          <w:p>
            <w:pPr>
              <w:pStyle w:val="Rvps2"/>
              <w:widowControl w:val="false"/>
              <w:shd w:val="clear" w:color="auto" w:fill="FFFFFF"/>
              <w:tabs>
                <w:tab w:val="clear" w:pos="708"/>
                <w:tab w:val="left" w:pos="229" w:leader="none"/>
                <w:tab w:val="left" w:pos="390" w:leader="none"/>
              </w:tabs>
              <w:spacing w:beforeAutospacing="0" w:before="0" w:afterAutospacing="0" w:after="0"/>
              <w:ind w:firstLine="390"/>
              <w:jc w:val="both"/>
              <w:rPr>
                <w:sz w:val="28"/>
                <w:szCs w:val="28"/>
              </w:rPr>
            </w:pPr>
            <w:r>
              <w:rPr>
                <w:color w:val="000000" w:themeColor="text1"/>
                <w:sz w:val="28"/>
                <w:szCs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trPr>
          <w:trHeight w:val="6405" w:hRule="atLeast"/>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9</w:t>
            </w:r>
          </w:p>
        </w:tc>
        <w:tc>
          <w:tcPr>
            <w:tcW w:w="2713"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Перелік необхідних документів</w:t>
            </w:r>
          </w:p>
        </w:tc>
        <w:tc>
          <w:tcPr>
            <w:tcW w:w="6422" w:type="dxa"/>
            <w:tcBorders>
              <w:top w:val="outset" w:sz="6" w:space="0" w:color="000000"/>
              <w:left w:val="outset" w:sz="6" w:space="0" w:color="000000"/>
              <w:bottom w:val="outset" w:sz="6" w:space="0" w:color="000000"/>
              <w:right w:val="outset" w:sz="6" w:space="0" w:color="000000"/>
            </w:tcBorders>
          </w:tcPr>
          <w:p>
            <w:pPr>
              <w:pStyle w:val="Normal"/>
              <w:widowControl w:val="false"/>
              <w:shd w:val="clear" w:color="auto" w:fill="FFFFFF"/>
              <w:spacing w:before="0" w:after="150"/>
              <w:ind w:firstLine="390"/>
              <w:contextualSpacing/>
              <w:rPr>
                <w:sz w:val="28"/>
                <w:szCs w:val="28"/>
              </w:rPr>
            </w:pPr>
            <w:r>
              <w:rPr>
                <w:color w:val="000000" w:themeColor="text1"/>
                <w:sz w:val="28"/>
                <w:szCs w:val="28"/>
              </w:rPr>
              <w:t>Заявник, особа якої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(не пізніше ніж за три місяці до закінчення строку дії посвідки на тимчасове проживання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Normal"/>
              <w:widowControl w:val="false"/>
              <w:shd w:val="clear" w:color="auto" w:fill="FFFFFF"/>
              <w:spacing w:before="0" w:after="150"/>
              <w:ind w:firstLine="390"/>
              <w:contextualSpacing/>
              <w:rPr>
                <w:sz w:val="28"/>
                <w:szCs w:val="28"/>
              </w:rPr>
            </w:pPr>
            <w:r>
              <w:rPr>
                <w:color w:val="000000" w:themeColor="text1"/>
                <w:sz w:val="28"/>
                <w:szCs w:val="28"/>
              </w:rPr>
              <w:t>заява за формою, наведеною в додатку до Порядку призначення та виплати грошової компенсації вартості одноразової натуральної допомоги “пакунок малюка”, затвердженого постановою Кабінету Міністрів України від 04 лютого 2025 року № 114.</w:t>
            </w:r>
          </w:p>
          <w:p>
            <w:pPr>
              <w:pStyle w:val="Normal"/>
              <w:widowControl w:val="false"/>
              <w:shd w:val="clear" w:color="auto" w:fill="FFFFFF"/>
              <w:spacing w:before="0" w:after="150"/>
              <w:ind w:firstLine="390"/>
              <w:contextualSpacing/>
              <w:rPr>
                <w:sz w:val="28"/>
                <w:szCs w:val="28"/>
              </w:rPr>
            </w:pPr>
            <w:r>
              <w:rPr>
                <w:color w:val="000000" w:themeColor="text1"/>
                <w:sz w:val="28"/>
                <w:szCs w:val="28"/>
              </w:rPr>
              <w:t>Документи, що подаються в окремих випадках:</w:t>
            </w:r>
          </w:p>
          <w:p>
            <w:pPr>
              <w:pStyle w:val="Normal"/>
              <w:widowControl w:val="false"/>
              <w:shd w:val="clear" w:color="auto" w:fill="FFFFFF"/>
              <w:spacing w:before="0" w:after="150"/>
              <w:ind w:firstLine="390"/>
              <w:contextualSpacing/>
              <w:rPr>
                <w:sz w:val="28"/>
                <w:szCs w:val="28"/>
              </w:rPr>
            </w:pPr>
            <w:r>
              <w:rPr>
                <w:color w:val="000000" w:themeColor="text1"/>
                <w:sz w:val="28"/>
                <w:szCs w:val="28"/>
              </w:rPr>
              <w:t>у разі народження дитини за кордоном і відсутності свідоцтва про народження, виданого органом державної реєстрації актів цивільного стану України – копія свідоцтва про народження дитини, виданого компетентним органом іноземної держави та легалізованого в установленому порядку, якщо інше не передбачено законом або міжнародними договорами України, згоду на обов’язковість яких надано Верховною Радою України, разом із його перекладом на українську мову. Вірність перекладу або справжність підпису перекладача засвідчується нотаріально;</w:t>
            </w:r>
          </w:p>
          <w:p>
            <w:pPr>
              <w:pStyle w:val="Normal"/>
              <w:widowControl w:val="false"/>
              <w:shd w:val="clear" w:color="auto" w:fill="FFFFFF"/>
              <w:spacing w:before="0" w:after="150"/>
              <w:ind w:firstLine="390"/>
              <w:contextualSpacing/>
              <w:rPr>
                <w:sz w:val="28"/>
                <w:szCs w:val="28"/>
              </w:rPr>
            </w:pPr>
            <w:r>
              <w:rPr>
                <w:color w:val="000000" w:themeColor="text1"/>
                <w:sz w:val="28"/>
                <w:szCs w:val="28"/>
              </w:rPr>
              <w:t>копія рішення органу опіки та піклування або суду про встановлення опіки (у разі здійснення опіки над дитиною);</w:t>
            </w:r>
          </w:p>
          <w:p>
            <w:pPr>
              <w:pStyle w:val="Normal"/>
              <w:widowControl w:val="false"/>
              <w:shd w:val="clear" w:color="auto" w:fill="FFFFFF"/>
              <w:spacing w:before="0" w:after="150"/>
              <w:ind w:firstLine="390"/>
              <w:contextualSpacing/>
              <w:rPr>
                <w:sz w:val="28"/>
                <w:szCs w:val="28"/>
              </w:rPr>
            </w:pPr>
            <w:r>
              <w:rPr>
                <w:color w:val="000000" w:themeColor="text1"/>
                <w:sz w:val="28"/>
                <w:szCs w:val="28"/>
              </w:rPr>
              <w:t>копія рішення районної, районної у мм. Києві та Севастополі держадміністрації, виконавчого органу міської ради про влаштування дитини в сім’ю патронатного вихователя або до дитячого будинку сімейного типу, або до прийомної сім’ї (для сім’ї патронатного вихователя, дитячого будинку сімейного типу або прийомної сім’ї).</w:t>
            </w:r>
          </w:p>
          <w:p>
            <w:pPr>
              <w:pStyle w:val="Normal"/>
              <w:widowControl w:val="false"/>
              <w:shd w:val="clear" w:color="auto" w:fill="FFFFFF"/>
              <w:spacing w:before="0" w:after="150"/>
              <w:ind w:firstLine="390"/>
              <w:contextualSpacing/>
              <w:rPr>
                <w:sz w:val="28"/>
                <w:szCs w:val="28"/>
              </w:rPr>
            </w:pPr>
            <w:r>
              <w:rPr>
                <w:color w:val="000000" w:themeColor="text1"/>
                <w:sz w:val="28"/>
                <w:szCs w:val="28"/>
              </w:rPr>
              <w:t>Якщо для отримання грошової компенсації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грошової компенсації.</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10</w:t>
            </w:r>
          </w:p>
        </w:tc>
        <w:tc>
          <w:tcPr>
            <w:tcW w:w="2713"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Спосіб подання документів</w:t>
            </w:r>
          </w:p>
        </w:tc>
        <w:tc>
          <w:tcPr>
            <w:tcW w:w="6422" w:type="dxa"/>
            <w:tcBorders>
              <w:top w:val="outset" w:sz="6" w:space="0" w:color="000000"/>
              <w:left w:val="outset" w:sz="6" w:space="0" w:color="000000"/>
              <w:bottom w:val="outset" w:sz="6" w:space="0" w:color="000000"/>
              <w:right w:val="outset" w:sz="6" w:space="0" w:color="000000"/>
            </w:tcBorders>
          </w:tcPr>
          <w:p>
            <w:pPr>
              <w:pStyle w:val="Normal"/>
              <w:widowControl w:val="false"/>
              <w:spacing w:before="0" w:after="0"/>
              <w:ind w:firstLine="390"/>
              <w:contextualSpacing/>
              <w:rPr>
                <w:sz w:val="28"/>
                <w:szCs w:val="28"/>
              </w:rPr>
            </w:pPr>
            <w:r>
              <w:rPr>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у місті (у разі утворення) ради, центрів надання адміністративних послуг;</w:t>
            </w:r>
          </w:p>
          <w:p>
            <w:pPr>
              <w:pStyle w:val="Normal"/>
              <w:widowControl w:val="false"/>
              <w:spacing w:before="0" w:after="0"/>
              <w:ind w:firstLine="390"/>
              <w:contextualSpacing/>
              <w:rPr>
                <w:sz w:val="28"/>
                <w:szCs w:val="28"/>
              </w:rPr>
            </w:pPr>
            <w:r>
              <w:rPr>
                <w:sz w:val="28"/>
                <w:szCs w:val="28"/>
              </w:rPr>
              <w:t>засобами поштового зв’язку до головних управлінь Пенсійного фонду України в областях та м. Києві;</w:t>
            </w:r>
          </w:p>
          <w:p>
            <w:pPr>
              <w:pStyle w:val="Normal"/>
              <w:widowControl w:val="false"/>
              <w:spacing w:before="0" w:after="0"/>
              <w:ind w:firstLine="390"/>
              <w:contextualSpacing/>
              <w:rPr>
                <w:sz w:val="28"/>
                <w:szCs w:val="28"/>
              </w:rPr>
            </w:pPr>
            <w:r>
              <w:rPr>
                <w:sz w:val="28"/>
                <w:szCs w:val="28"/>
              </w:rPr>
              <w:t>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11</w:t>
            </w:r>
          </w:p>
        </w:tc>
        <w:tc>
          <w:tcPr>
            <w:tcW w:w="2713"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Платність (безоплатність) надання</w:t>
            </w:r>
          </w:p>
        </w:tc>
        <w:tc>
          <w:tcPr>
            <w:tcW w:w="6422"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Надається безоплатно.</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12</w:t>
            </w:r>
          </w:p>
        </w:tc>
        <w:tc>
          <w:tcPr>
            <w:tcW w:w="2713"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Строк надання послуги</w:t>
            </w:r>
          </w:p>
        </w:tc>
        <w:tc>
          <w:tcPr>
            <w:tcW w:w="6422"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sz w:val="28"/>
                <w:szCs w:val="28"/>
              </w:rPr>
            </w:pPr>
            <w:r>
              <w:rPr>
                <w:sz w:val="28"/>
                <w:szCs w:val="28"/>
              </w:rPr>
              <w:t>Протягом десяти робочих днів з дати надходження документів або відомостей.</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13</w:t>
            </w:r>
          </w:p>
        </w:tc>
        <w:tc>
          <w:tcPr>
            <w:tcW w:w="2713"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Перелік підстав для відмови в наданні послуги</w:t>
            </w:r>
          </w:p>
        </w:tc>
        <w:tc>
          <w:tcPr>
            <w:tcW w:w="6422"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1565" w:leader="none"/>
              </w:tabs>
              <w:ind w:firstLine="390"/>
              <w:rPr>
                <w:sz w:val="28"/>
                <w:szCs w:val="28"/>
              </w:rPr>
            </w:pPr>
            <w:r>
              <w:rPr>
                <w:sz w:val="28"/>
                <w:szCs w:val="28"/>
              </w:rPr>
              <w:t>Подання не у повному обсязі документів або відомостей;</w:t>
            </w:r>
          </w:p>
          <w:p>
            <w:pPr>
              <w:pStyle w:val="Normal"/>
              <w:widowControl w:val="false"/>
              <w:tabs>
                <w:tab w:val="clear" w:pos="708"/>
                <w:tab w:val="left" w:pos="229" w:leader="none"/>
                <w:tab w:val="left" w:pos="1565" w:leader="none"/>
              </w:tabs>
              <w:ind w:firstLine="390"/>
              <w:rPr>
                <w:sz w:val="28"/>
                <w:szCs w:val="28"/>
              </w:rPr>
            </w:pPr>
            <w:r>
              <w:rPr>
                <w:sz w:val="28"/>
                <w:szCs w:val="28"/>
              </w:rPr>
              <w:t>звернення за компенсацією надійшло пізніше 12 місяців з дня народження дитини (пізніше ніж через 30 днів після отримання свідоцтва про народження дитини, факт народження якої на території, на якій введено воєнний чи надзвичайний стан, або на тимчасово окупованій території України встановлено судом та зазначено в ухваленому судовому рішенні за заявою про встановлення цього факту, поданою до суду не пізніше ніж через 12 місяців після дати народження дитини);</w:t>
            </w:r>
          </w:p>
          <w:p>
            <w:pPr>
              <w:pStyle w:val="Normal"/>
              <w:widowControl w:val="false"/>
              <w:tabs>
                <w:tab w:val="clear" w:pos="708"/>
                <w:tab w:val="left" w:pos="229" w:leader="none"/>
                <w:tab w:val="left" w:pos="1565" w:leader="none"/>
              </w:tabs>
              <w:ind w:firstLine="390"/>
              <w:rPr>
                <w:sz w:val="28"/>
                <w:szCs w:val="28"/>
              </w:rPr>
            </w:pPr>
            <w:r>
              <w:rPr>
                <w:sz w:val="28"/>
                <w:szCs w:val="28"/>
              </w:rPr>
              <w:t>відмова від новонародженої дитини; відбування матір’ю покарання у місцях позбавлення волі та подальшого перебування новонародженої дитини в будинку дитини при виправній колонії;</w:t>
            </w:r>
          </w:p>
          <w:p>
            <w:pPr>
              <w:pStyle w:val="Normal"/>
              <w:widowControl w:val="false"/>
              <w:tabs>
                <w:tab w:val="clear" w:pos="708"/>
                <w:tab w:val="left" w:pos="229" w:leader="none"/>
                <w:tab w:val="left" w:pos="1565" w:leader="none"/>
              </w:tabs>
              <w:ind w:firstLine="390"/>
              <w:rPr>
                <w:sz w:val="28"/>
                <w:szCs w:val="28"/>
              </w:rPr>
            </w:pPr>
            <w:r>
              <w:rPr>
                <w:sz w:val="28"/>
                <w:szCs w:val="28"/>
              </w:rPr>
              <w:t>смерть новонародженої дитини до дати звернення за призначенням грошової компенсації; отримання одноразової натуральної допомоги “пакунок малюка”.</w:t>
            </w:r>
          </w:p>
          <w:p>
            <w:pPr>
              <w:pStyle w:val="Normal"/>
              <w:widowControl w:val="false"/>
              <w:tabs>
                <w:tab w:val="clear" w:pos="708"/>
                <w:tab w:val="left" w:pos="229" w:leader="none"/>
                <w:tab w:val="left" w:pos="1565" w:leader="none"/>
              </w:tabs>
              <w:ind w:firstLine="390"/>
              <w:rPr>
                <w:sz w:val="28"/>
                <w:szCs w:val="28"/>
              </w:rPr>
            </w:pPr>
            <w:r>
              <w:rPr>
                <w:sz w:val="28"/>
                <w:szCs w:val="28"/>
              </w:rPr>
              <w:t>Орган Пенсійного фонду України може переглянути рішення про призначення грошової компенсації та відмовити у її призначенні, якщо протягом 30 календарних днів після отримання повідомлення органу Пенсійного фонду України отримувач компенсації не подав реквізитів спеціального рахунка (якщо в заяві не зазначено відомостей щодо реквізитів спеціального рахунка).</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14</w:t>
            </w:r>
          </w:p>
        </w:tc>
        <w:tc>
          <w:tcPr>
            <w:tcW w:w="2713"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Результат надання послуги</w:t>
            </w:r>
          </w:p>
        </w:tc>
        <w:tc>
          <w:tcPr>
            <w:tcW w:w="6422"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1565" w:leader="none"/>
              </w:tabs>
              <w:ind w:firstLine="390"/>
              <w:rPr>
                <w:sz w:val="28"/>
                <w:szCs w:val="28"/>
              </w:rPr>
            </w:pPr>
            <w:r>
              <w:rPr>
                <w:color w:val="000000" w:themeColor="text1"/>
                <w:sz w:val="28"/>
                <w:szCs w:val="28"/>
              </w:rPr>
              <w:t>Орган Пенсійного фонду України приймає рішення про призначення грошової компенсації або про відмову в її призначенні.</w:t>
            </w:r>
          </w:p>
          <w:p>
            <w:pPr>
              <w:pStyle w:val="Normal"/>
              <w:widowControl w:val="false"/>
              <w:tabs>
                <w:tab w:val="clear" w:pos="708"/>
                <w:tab w:val="left" w:pos="229" w:leader="none"/>
                <w:tab w:val="left" w:pos="1565" w:leader="none"/>
              </w:tabs>
              <w:ind w:firstLine="390"/>
              <w:rPr>
                <w:sz w:val="28"/>
                <w:szCs w:val="28"/>
              </w:rPr>
            </w:pPr>
            <w:r>
              <w:rPr>
                <w:color w:val="000000" w:themeColor="text1"/>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протягом 30 календарних днів.</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15</w:t>
            </w:r>
          </w:p>
        </w:tc>
        <w:tc>
          <w:tcPr>
            <w:tcW w:w="2713"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Способи отримання відповіді (результату)</w:t>
            </w:r>
          </w:p>
        </w:tc>
        <w:tc>
          <w:tcPr>
            <w:tcW w:w="6422"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spacing w:beforeAutospacing="0" w:before="0" w:afterAutospacing="0" w:after="0"/>
              <w:ind w:firstLine="390"/>
              <w:jc w:val="both"/>
              <w:textAlignment w:val="baseline"/>
              <w:rPr>
                <w:sz w:val="28"/>
                <w:szCs w:val="28"/>
              </w:rPr>
            </w:pPr>
            <w:r>
              <w:rPr>
                <w:color w:val="000000" w:themeColor="text1"/>
                <w:sz w:val="28"/>
                <w:szCs w:val="28"/>
              </w:rPr>
              <w:t>Орган Пенсійного фонду України або центр надання адміністративних послуг (у разі подання заяви через центр надання адміністративних послуг) не пізніше ніж протягом наступного робочого дня з дня прийняття рішення видає або надсилає засобами поштового зв’язку (за рахунок отримувача) чи за допомогою технічних засобів електронних комунікацій (електронної пошти, інших засобів зв’язку) за вибором заявника.</w:t>
            </w:r>
          </w:p>
        </w:tc>
      </w:tr>
    </w:tbl>
    <w:p>
      <w:pPr>
        <w:pStyle w:val="Normal"/>
        <w:rPr>
          <w:szCs w:val="28"/>
        </w:rPr>
      </w:pPr>
      <w:r>
        <w:rPr>
          <w:szCs w:val="28"/>
        </w:rPr>
      </w:r>
      <w:bookmarkStart w:id="1" w:name="n43"/>
      <w:bookmarkStart w:id="2" w:name="n43"/>
      <w:bookmarkEnd w:id="2"/>
    </w:p>
    <w:p>
      <w:pPr>
        <w:pStyle w:val="Normal"/>
        <w:rPr>
          <w:b/>
          <w:b/>
          <w:szCs w:val="28"/>
        </w:rPr>
      </w:pPr>
      <w:r>
        <w:rPr>
          <w:b/>
          <w:szCs w:val="28"/>
        </w:rPr>
        <w:t xml:space="preserve">Начальник </w:t>
      </w:r>
    </w:p>
    <w:p>
      <w:pPr>
        <w:pStyle w:val="Normal"/>
        <w:rPr>
          <w:b/>
          <w:b/>
          <w:szCs w:val="28"/>
        </w:rPr>
      </w:pPr>
      <w:r>
        <w:rPr>
          <w:b/>
          <w:szCs w:val="28"/>
        </w:rPr>
        <w:t>Головного управління                                              Василь ФАТХУТДІНОВ</w:t>
      </w:r>
    </w:p>
    <w:p>
      <w:pPr>
        <w:pStyle w:val="Normal"/>
        <w:rPr>
          <w:b/>
          <w:b/>
          <w:szCs w:val="28"/>
        </w:rPr>
      </w:pPr>
      <w:r>
        <w:rPr/>
      </w:r>
    </w:p>
    <w:sectPr>
      <w:headerReference w:type="default" r:id="rId4"/>
      <w:type w:val="nextPage"/>
      <w:pgSz w:w="11906" w:h="16838"/>
      <w:pgMar w:left="1701" w:right="567" w:header="709" w:top="1134" w:footer="0" w:bottom="1701"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center"/>
      <w:rPr/>
    </w:pPr>
    <w:r>
      <w:rPr/>
      <w:fldChar w:fldCharType="begin"/>
    </w:r>
    <w:r>
      <w:rPr/>
      <w:instrText> PAGE </w:instrText>
    </w:r>
    <w:r>
      <w:rPr/>
      <w:fldChar w:fldCharType="separate"/>
    </w:r>
    <w:r>
      <w:rPr/>
      <w:t>5</w:t>
    </w:r>
    <w:r>
      <w:rPr/>
      <w:fldChar w:fldCharType="end"/>
    </w:r>
  </w:p>
  <w:p>
    <w:pPr>
      <w:pStyle w:val="Style28"/>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uk-UA" w:eastAsia="uk-UA" w:bidi="ar-SA"/>
    </w:rPr>
  </w:style>
  <w:style w:type="character" w:styleId="DefaultParagraphFont" w:default="1">
    <w:name w:val="Default Paragraph Font"/>
    <w:uiPriority w:val="1"/>
    <w:semiHidden/>
    <w:unhideWhenUsed/>
    <w:qFormat/>
    <w:rPr/>
  </w:style>
  <w:style w:type="character" w:styleId="Linenumber">
    <w:name w:val="line number"/>
    <w:basedOn w:val="DefaultParagraphFont"/>
    <w:semiHidden/>
    <w:qFormat/>
    <w:rPr/>
  </w:style>
  <w:style w:type="character" w:styleId="Style14">
    <w:name w:val="Гіперпосилання"/>
    <w:basedOn w:val="DefaultParagraphFont"/>
    <w:rPr>
      <w:color w:val="0000FF"/>
      <w:u w:val="single"/>
    </w:rPr>
  </w:style>
  <w:style w:type="character" w:styleId="Style15" w:customStyle="1">
    <w:name w:val="Верхний колонтитул Знак"/>
    <w:basedOn w:val="DefaultParagraphFont"/>
    <w:qFormat/>
    <w:rPr/>
  </w:style>
  <w:style w:type="character" w:styleId="Rvts44" w:customStyle="1">
    <w:name w:val="rvts44"/>
    <w:basedOn w:val="DefaultParagraphFont"/>
    <w:qFormat/>
    <w:rPr/>
  </w:style>
  <w:style w:type="character" w:styleId="Rvts9" w:customStyle="1">
    <w:name w:val="rvts9"/>
    <w:basedOn w:val="DefaultParagraphFont"/>
    <w:qFormat/>
    <w:rPr/>
  </w:style>
  <w:style w:type="character" w:styleId="Style16" w:customStyle="1">
    <w:name w:val="Текст выноски Знак"/>
    <w:basedOn w:val="DefaultParagraphFont"/>
    <w:link w:val="BalloonText"/>
    <w:semiHidden/>
    <w:qFormat/>
    <w:rPr>
      <w:rFonts w:ascii="Segoe UI" w:hAnsi="Segoe UI"/>
      <w:sz w:val="18"/>
    </w:rPr>
  </w:style>
  <w:style w:type="character" w:styleId="2" w:customStyle="1">
    <w:name w:val="Основной текст (2)_"/>
    <w:basedOn w:val="DefaultParagraphFont"/>
    <w:link w:val="211"/>
    <w:qFormat/>
    <w:rPr/>
  </w:style>
  <w:style w:type="character" w:styleId="21" w:customStyle="1">
    <w:name w:val="Основной текст (2) + Курсив"/>
    <w:basedOn w:val="2"/>
    <w:qFormat/>
    <w:rPr>
      <w:rFonts w:ascii="Times New Roman" w:hAnsi="Times New Roman"/>
      <w:i/>
      <w:sz w:val="28"/>
      <w:shd w:fill="FFFFFF" w:val="clear"/>
    </w:rPr>
  </w:style>
  <w:style w:type="character" w:styleId="Style17">
    <w:name w:val="Виділення"/>
    <w:basedOn w:val="DefaultParagraphFont"/>
    <w:qFormat/>
    <w:rPr>
      <w:i/>
    </w:rPr>
  </w:style>
  <w:style w:type="character" w:styleId="1" w:customStyle="1">
    <w:name w:val="Неразрешенное упоминание1"/>
    <w:basedOn w:val="DefaultParagraphFont"/>
    <w:uiPriority w:val="99"/>
    <w:semiHidden/>
    <w:unhideWhenUsed/>
    <w:qFormat/>
    <w:rsid w:val="00d45896"/>
    <w:rPr>
      <w:color w:val="605E5C"/>
      <w:shd w:fill="E1DFDD" w:val="clear"/>
    </w:rPr>
  </w:style>
  <w:style w:type="character" w:styleId="Style18">
    <w:name w:val="Відвідане гіперпосилання"/>
    <w:basedOn w:val="DefaultParagraphFont"/>
    <w:uiPriority w:val="99"/>
    <w:semiHidden/>
    <w:unhideWhenUsed/>
    <w:rsid w:val="00d45896"/>
    <w:rPr>
      <w:color w:val="954F72" w:themeColor="followedHyperlink"/>
      <w:u w:val="single"/>
    </w:rPr>
  </w:style>
  <w:style w:type="character" w:styleId="Style19" w:customStyle="1">
    <w:name w:val="Нижний колонтитул Знак"/>
    <w:basedOn w:val="DefaultParagraphFont"/>
    <w:uiPriority w:val="99"/>
    <w:qFormat/>
    <w:rsid w:val="00a31a6f"/>
    <w:rPr>
      <w:rFonts w:ascii="Times New Roman" w:hAnsi="Times New Roman"/>
      <w:sz w:val="28"/>
    </w:rPr>
  </w:style>
  <w:style w:type="character" w:styleId="Style20" w:customStyle="1">
    <w:name w:val="Основной текст Знак"/>
    <w:basedOn w:val="DefaultParagraphFont"/>
    <w:uiPriority w:val="1"/>
    <w:qFormat/>
    <w:rsid w:val="00f11870"/>
    <w:rPr>
      <w:rFonts w:ascii="Times New Roman" w:hAnsi="Times New Roman"/>
      <w:sz w:val="28"/>
      <w:szCs w:val="28"/>
      <w:lang w:eastAsia="en-US"/>
    </w:rPr>
  </w:style>
  <w:style w:type="character" w:styleId="UnresolvedMention">
    <w:name w:val="Unresolved Mention"/>
    <w:basedOn w:val="DefaultParagraphFont"/>
    <w:uiPriority w:val="99"/>
    <w:semiHidden/>
    <w:unhideWhenUsed/>
    <w:qFormat/>
    <w:rsid w:val="00ca7497"/>
    <w:rPr>
      <w:color w:val="605E5C"/>
      <w:shd w:fill="E1DFDD" w:val="clear"/>
    </w:rPr>
  </w:style>
  <w:style w:type="character" w:styleId="Style21">
    <w:name w:val="Символ нумерації"/>
    <w:qFormat/>
    <w:rPr/>
  </w:style>
  <w:style w:type="paragraph" w:styleId="Style22">
    <w:name w:val="Заголовок"/>
    <w:basedOn w:val="Normal"/>
    <w:next w:val="Style23"/>
    <w:qFormat/>
    <w:pPr>
      <w:keepNext w:val="true"/>
      <w:spacing w:before="240" w:after="120"/>
    </w:pPr>
    <w:rPr>
      <w:rFonts w:ascii="Liberation Sans" w:hAnsi="Liberation Sans" w:eastAsia="Microsoft YaHei" w:cs="Arial"/>
      <w:sz w:val="28"/>
      <w:szCs w:val="28"/>
    </w:rPr>
  </w:style>
  <w:style w:type="paragraph" w:styleId="Style23">
    <w:name w:val="Body Text"/>
    <w:basedOn w:val="Normal"/>
    <w:link w:val="Style17"/>
    <w:uiPriority w:val="1"/>
    <w:qFormat/>
    <w:rsid w:val="00f11870"/>
    <w:pPr>
      <w:widowControl w:val="false"/>
      <w:spacing w:before="120" w:after="0"/>
      <w:ind w:left="569" w:hanging="0"/>
    </w:pPr>
    <w:rPr>
      <w:szCs w:val="28"/>
      <w:lang w:eastAsia="en-US"/>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Arial"/>
      <w:i/>
      <w:iCs/>
      <w:sz w:val="24"/>
      <w:szCs w:val="24"/>
    </w:rPr>
  </w:style>
  <w:style w:type="paragraph" w:styleId="Style26">
    <w:name w:val="Покажчик"/>
    <w:basedOn w:val="Normal"/>
    <w:qFormat/>
    <w:pPr>
      <w:suppressLineNumbers/>
    </w:pPr>
    <w:rPr>
      <w:rFonts w:cs="Arial"/>
    </w:rPr>
  </w:style>
  <w:style w:type="paragraph" w:styleId="NormalWeb">
    <w:name w:val="Normal (Web)"/>
    <w:basedOn w:val="Normal"/>
    <w:qFormat/>
    <w:pPr>
      <w:spacing w:beforeAutospacing="1" w:afterAutospacing="1"/>
      <w:jc w:val="left"/>
    </w:pPr>
    <w:rPr>
      <w:sz w:val="24"/>
    </w:rPr>
  </w:style>
  <w:style w:type="paragraph" w:styleId="Rvps2" w:customStyle="1">
    <w:name w:val="rvps2"/>
    <w:basedOn w:val="Normal"/>
    <w:qFormat/>
    <w:pPr>
      <w:spacing w:beforeAutospacing="1" w:afterAutospacing="1"/>
      <w:jc w:val="left"/>
    </w:pPr>
    <w:rPr>
      <w:sz w:val="24"/>
    </w:rPr>
  </w:style>
  <w:style w:type="paragraph" w:styleId="Style27">
    <w:name w:val="Верхній і нижній колонтитули"/>
    <w:basedOn w:val="Normal"/>
    <w:qFormat/>
    <w:pPr/>
    <w:rPr/>
  </w:style>
  <w:style w:type="paragraph" w:styleId="Style28">
    <w:name w:val="Header"/>
    <w:basedOn w:val="Normal"/>
    <w:link w:val="Style14"/>
    <w:pPr>
      <w:tabs>
        <w:tab w:val="clear" w:pos="708"/>
        <w:tab w:val="center" w:pos="4677" w:leader="none"/>
        <w:tab w:val="right" w:pos="9355" w:leader="none"/>
      </w:tabs>
    </w:pPr>
    <w:rPr/>
  </w:style>
  <w:style w:type="paragraph" w:styleId="BalloonText">
    <w:name w:val="Balloon Text"/>
    <w:basedOn w:val="Normal"/>
    <w:link w:val="Style15"/>
    <w:semiHidden/>
    <w:qFormat/>
    <w:pPr/>
    <w:rPr>
      <w:rFonts w:ascii="Segoe UI" w:hAnsi="Segoe UI"/>
      <w:sz w:val="18"/>
    </w:rPr>
  </w:style>
  <w:style w:type="paragraph" w:styleId="211" w:customStyle="1">
    <w:name w:val="Основной текст (2)1"/>
    <w:basedOn w:val="Normal"/>
    <w:link w:val="2"/>
    <w:qFormat/>
    <w:pPr>
      <w:widowControl w:val="false"/>
      <w:shd w:val="clear" w:color="auto" w:fill="FFFFFF"/>
      <w:spacing w:lineRule="exact" w:line="485"/>
    </w:pPr>
    <w:rPr/>
  </w:style>
  <w:style w:type="paragraph" w:styleId="ListParagraph">
    <w:name w:val="List Paragraph"/>
    <w:basedOn w:val="Normal"/>
    <w:qFormat/>
    <w:pPr>
      <w:spacing w:before="0" w:after="0"/>
      <w:ind w:left="720" w:hanging="0"/>
      <w:contextualSpacing/>
    </w:pPr>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uk-UA" w:eastAsia="uk-UA" w:bidi="ar-SA"/>
    </w:rPr>
  </w:style>
  <w:style w:type="paragraph" w:styleId="Style29">
    <w:name w:val="Footer"/>
    <w:basedOn w:val="Normal"/>
    <w:link w:val="Style16"/>
    <w:uiPriority w:val="99"/>
    <w:unhideWhenUsed/>
    <w:rsid w:val="00a31a6f"/>
    <w:pPr>
      <w:tabs>
        <w:tab w:val="clear" w:pos="708"/>
        <w:tab w:val="center" w:pos="4819" w:leader="none"/>
        <w:tab w:val="right" w:pos="9639" w:leader="none"/>
      </w:tabs>
    </w:pPr>
    <w:rPr/>
  </w:style>
  <w:style w:type="paragraph" w:styleId="Revision">
    <w:name w:val="Revision"/>
    <w:uiPriority w:val="99"/>
    <w:semiHidden/>
    <w:qFormat/>
    <w:rsid w:val="00ec77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uk-UA" w:eastAsia="uk-UA" w:bidi="ar-SA"/>
    </w:rPr>
  </w:style>
  <w:style w:type="paragraph" w:styleId="TableParagraph">
    <w:name w:val="Table Paragraph"/>
    <w:basedOn w:val="Normal"/>
    <w:qFormat/>
    <w:pPr>
      <w:spacing w:before="48" w:after="0"/>
      <w:ind w:left="60" w:right="42"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2">
    <w:name w:val="Table Grid"/>
    <w:basedOn w:val="a1"/>
    <w:uiPriority w:val="39"/>
    <w:rsid w:val="00953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u@ko.pfu.gov.ua" TargetMode="External"/><Relationship Id="rId3" Type="http://schemas.openxmlformats.org/officeDocument/2006/relationships/hyperlink" Target="http://www.pfu.gov.ua/ko/"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DB40-5AC3-4F4E-9FF8-512B502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Application>LibreOffice/7.1.0.3$Windows_X86_64 LibreOffice_project/f6099ecf3d29644b5008cc8f48f42f4a40986e4c</Application>
  <AppVersion>15.0000</AppVersion>
  <Pages>5</Pages>
  <Words>1041</Words>
  <Characters>7092</Characters>
  <CharactersWithSpaces>8106</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2025-07-02T12:34:00Z</dcterms:created>
  <dc:creator>Yanina Shinkaruk</dc:creator>
  <dc:description/>
  <dc:language>uk-UA</dc:language>
  <cp:lastModifiedBy/>
  <cp:lastPrinted>2025-06-27T05:07:00Z</cp:lastPrinted>
  <dcterms:modified xsi:type="dcterms:W3CDTF">2025-08-07T09:36:06Z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