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одноразової адресної грошової допомоги військовослужбовцям, звільненим з полону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населення Боярської міської ради</w:t>
      </w:r>
    </w:p>
    <w:p w:rsidR="00527A38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2"/>
        <w:id w:val="1229307939"/>
        <w:lock w:val="contentLocked"/>
      </w:sdtPr>
      <w:sdtEndPr/>
      <w:sdtContent>
        <w:tbl>
          <w:tblPr>
            <w:tblStyle w:val="affb"/>
            <w:tblW w:w="10395" w:type="dxa"/>
            <w:tblInd w:w="-48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95"/>
            <w:gridCol w:w="4230"/>
            <w:gridCol w:w="5670"/>
          </w:tblGrid>
          <w:tr w:rsidR="00680543">
            <w:tc>
              <w:tcPr>
                <w:tcW w:w="10395" w:type="dxa"/>
                <w:gridSpan w:val="3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Інформація про центр надання адміністративних послуг</w:t>
                </w:r>
              </w:p>
            </w:tc>
          </w:tr>
          <w:tr w:rsidR="00680543">
            <w:tc>
              <w:tcPr>
                <w:tcW w:w="4725" w:type="dxa"/>
                <w:gridSpan w:val="2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Найменування центру надання адміністративних послуг, в якому здійснюється обслуговування суб’єкта звернення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Центр надання адміністративних послуг (ЦНАП) виконавчого комітету Боярської міської ради.</w:t>
                </w:r>
              </w:p>
            </w:tc>
          </w:tr>
          <w:tr w:rsidR="00680543">
            <w:tc>
              <w:tcPr>
                <w:tcW w:w="10395" w:type="dxa"/>
                <w:gridSpan w:val="3"/>
              </w:tcPr>
              <w:p w:rsidR="00680543" w:rsidRDefault="00680543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Місцезнаходження центру надання адміністративних послуг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08154, вул. Грушевського, 39, м. Боярка, Київська обл.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Інформація щодо режиму роботи центру надання адміністративних послуг</w:t>
                </w:r>
              </w:p>
            </w:tc>
            <w:tc>
              <w:tcPr>
                <w:tcW w:w="5670" w:type="dxa"/>
              </w:tcPr>
              <w:p w:rsidR="00680543" w:rsidRDefault="00680543">
                <w:pPr>
                  <w:widowControl w:val="0"/>
                  <w:spacing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sdt>
                <w:sdtPr>
                  <w:tag w:val="goog_rdk_1"/>
                  <w:id w:val="1069514200"/>
                  <w:lock w:val="contentLocked"/>
                </w:sdtPr>
                <w:sdtEndPr/>
                <w:sdtContent>
                  <w:tbl>
                    <w:tblPr>
                      <w:tblStyle w:val="affc"/>
                      <w:tblW w:w="2550" w:type="dxa"/>
                      <w:tblInd w:w="0" w:type="dxa"/>
                      <w:tblLayout w:type="fixed"/>
                      <w:tblLook w:val="0400" w:firstRow="0" w:lastRow="0" w:firstColumn="0" w:lastColumn="0" w:noHBand="0" w:noVBand="1"/>
                    </w:tblPr>
                    <w:tblGrid>
                      <w:gridCol w:w="1425"/>
                      <w:gridCol w:w="1125"/>
                    </w:tblGrid>
                    <w:tr w:rsidR="00680543">
                      <w:trPr>
                        <w:trHeight w:val="536"/>
                      </w:trPr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Понеділок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8:30-17:00</w:t>
                          </w:r>
                        </w:p>
                      </w:tc>
                    </w:tr>
                    <w:tr w:rsidR="00680543">
                      <w:trPr>
                        <w:trHeight w:val="268"/>
                      </w:trPr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Вівторок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8:30-17:00</w:t>
                          </w:r>
                        </w:p>
                      </w:tc>
                    </w:tr>
                    <w:tr w:rsidR="00680543">
                      <w:trPr>
                        <w:trHeight w:val="268"/>
                      </w:trPr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Середа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8:30-17:00</w:t>
                          </w:r>
                        </w:p>
                      </w:tc>
                    </w:tr>
                    <w:tr w:rsidR="00680543"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Четвер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8:30-17:00</w:t>
                          </w:r>
                        </w:p>
                      </w:tc>
                    </w:tr>
                    <w:tr w:rsidR="00680543"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П'ятниця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8:30-16:00</w:t>
                          </w:r>
                        </w:p>
                      </w:tc>
                    </w:tr>
                    <w:tr w:rsidR="00680543"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Субота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8:30-17:00</w:t>
                          </w:r>
                        </w:p>
                      </w:tc>
                    </w:tr>
                    <w:tr w:rsidR="00680543">
                      <w:tc>
                        <w:tcPr>
                          <w:tcW w:w="14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Неділя</w:t>
                          </w:r>
                        </w:p>
                      </w:tc>
                      <w:tc>
                        <w:tcPr>
                          <w:tcW w:w="112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bottom"/>
                        </w:tcPr>
                        <w:p w:rsidR="00680543" w:rsidRDefault="00527A38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   вихідний</w:t>
                          </w:r>
                        </w:p>
                      </w:tc>
                    </w:tr>
                  </w:tbl>
                </w:sdtContent>
              </w:sdt>
              <w:p w:rsidR="00680543" w:rsidRDefault="00680543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80543">
            <w:tc>
              <w:tcPr>
                <w:tcW w:w="10395" w:type="dxa"/>
                <w:gridSpan w:val="3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Нормативні акти,</w:t>
                </w:r>
              </w:p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якими регламентується надання адміністративної послуги: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Закони України</w:t>
                </w:r>
              </w:p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Підстави надання послуги (закони, нормативно-правові акти)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1.Конституція України </w:t>
                </w:r>
              </w:p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Закону України «Про місцеве самоврядування в Україні»</w:t>
                </w:r>
              </w:p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3.Закон України «Про адміністративні послуги» </w:t>
                </w:r>
              </w:p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4.Закон України «Про доступ до публічної інформації» </w:t>
                </w:r>
              </w:p>
            </w:tc>
          </w:tr>
          <w:tr w:rsidR="00680543">
            <w:trPr>
              <w:trHeight w:val="1110"/>
            </w:trPr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Акти центральних органів виконавчої влади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Наказ Міністерства праці та соціальної політики України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 № 345 від 19.09.2006  № 345 «Про затвердження Інструкції щодо порядку оформлення і ведення особових справ отримувачів усіх видів соціальної допомоги»</w:t>
                </w:r>
              </w:p>
            </w:tc>
          </w:tr>
          <w:tr w:rsidR="00680543">
            <w:trPr>
              <w:trHeight w:val="1526"/>
            </w:trPr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Акти місцевих органів виконавчої влади/ органів місцевого самоврядування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white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white"/>
                  </w:rPr>
                  <w:t xml:space="preserve">1.Рішення чергової 61 сесії Боярської міської ради             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    </w:r>
              </w:p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 Рішення Виконавчого комітету від 28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.08.2025 р.  № 1/10 про затвердження Порядку надання матеріальної допомоги (в новій редакції)</w:t>
                </w:r>
              </w:p>
            </w:tc>
          </w:tr>
          <w:tr w:rsidR="00680543">
            <w:trPr>
              <w:trHeight w:val="298"/>
            </w:trPr>
            <w:tc>
              <w:tcPr>
                <w:tcW w:w="10395" w:type="dxa"/>
                <w:gridSpan w:val="3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Умови отримання адміністративної послуги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Підстава для одержання адміністративної послуги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Звільнення військовослужбовця з полону </w:t>
                </w:r>
              </w:p>
            </w:tc>
          </w:tr>
          <w:tr w:rsidR="00680543">
            <w:trPr>
              <w:trHeight w:val="7965"/>
            </w:trPr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7.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Вичерпний перелік документів, необхідних для отримання адміністративної послуги, а тако</w:t>
                </w:r>
                <w:r>
                  <w:rPr>
                    <w:rFonts w:ascii="Times New Roman" w:eastAsia="Times New Roman" w:hAnsi="Times New Roman" w:cs="Times New Roman"/>
                    <w:b/>
                    <w:i/>
                  </w:rPr>
                  <w:t xml:space="preserve">ж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вимоги до них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Заява згідно Додатку 1 до Порядку надання матеріальної допомоги (в новій редакції), затвердженого рішенням Виконавчого комітету від 28.08.2025 р. № 1/10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паспорт заявника у формі книжечки або паспорта заявника у формі пластикової картки типу ID;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витяг з реєстру територіальної громади;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документ про реєстраційний номер облікової картки платника податків (крім осіб, які через свої релігійні переконання відмови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довідка (якщо заявник є внутрішньо переміщеною особою) про взяття на облік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внутрішньо переміщеної особи з відміткою про фактичне місце проживання на території Боярської міської територіальної громади;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довідка з банку з реквізитами рахунку для переказу коштів (ПриватБанк, Ощадбанк);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посвідчення учасника бойових дій (за наявності);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витяг з ЄДРВВ або довідка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(за наявності);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довідка про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перебування громадянина України з числа осіб, визначених пунктом 1 частини першої статті 2 Закону України “Про соціальний і правовий захист осіб, стосовно яких встановлено факт позбавлення  особистої свободи внаслідок збройної агресії проти України, та чле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нів їхніх сімей”, у місцях несвободи внаслідок збройної агресії проти України або інтернування в нейтральних державах;</w:t>
                </w:r>
              </w:p>
              <w:p w:rsidR="00680543" w:rsidRDefault="00527A38">
                <w:pPr>
                  <w:numPr>
                    <w:ilvl w:val="0"/>
                    <w:numId w:val="1"/>
                  </w:num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лист ДП “Український національний центр розбудови миру” про перебування заявника у полоні ( за наявності).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Порядок та спосіб подання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документів, необхідних для отримання адміністративної послуги.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законним представником або іншо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ю особою за відповідним дорученням, завіреним у встановленому порядку, у випадках, передбачених чинним законодавством.</w:t>
                </w:r>
              </w:p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Уповноважена особа, яка приймає заяву, сканує заяву та оригінали необхідних документів за допомогою засобів, що призначені для сканування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та розпізнавання даних.</w:t>
                </w:r>
              </w:p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Ксерокопії документів не надаються.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9.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Платність (безоплатність) надання адміністративної послуги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Безоплатно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Спосіб отримання відповіді (результату)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Центрі надання адміністративних послуг</w:t>
                </w:r>
              </w:p>
            </w:tc>
          </w:tr>
          <w:tr w:rsidR="00680543">
            <w:tc>
              <w:tcPr>
                <w:tcW w:w="495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11.</w:t>
                </w:r>
              </w:p>
            </w:tc>
            <w:tc>
              <w:tcPr>
                <w:tcW w:w="4230" w:type="dxa"/>
              </w:tcPr>
              <w:p w:rsidR="00680543" w:rsidRDefault="00527A3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Перелік підстав для відмови у наданні адміністративної послуги</w:t>
                </w:r>
              </w:p>
            </w:tc>
            <w:tc>
              <w:tcPr>
                <w:tcW w:w="567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Подання неповного пакету документів або подання недостовірної інформації необхідної для надання послуги.</w:t>
                </w:r>
              </w:p>
            </w:tc>
          </w:tr>
        </w:tbl>
      </w:sdtContent>
    </w:sdt>
    <w:p w:rsidR="00680543" w:rsidRDefault="00680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543" w:rsidRDefault="00680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A38" w:rsidRDefault="00527A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ТЕХНОЛОГІЧНА КАРТ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“Надання одноразової адресної грошової допомоги військовослужбов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цям, звільненим з полону”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Центр надання адміністративних послуг виконавчого комітету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ради.</w:t>
      </w:r>
    </w:p>
    <w:p w:rsidR="00680543" w:rsidRDefault="0052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населення Боярської міської ради</w:t>
      </w:r>
    </w:p>
    <w:sdt>
      <w:sdtPr>
        <w:tag w:val="goog_rdk_3"/>
        <w:id w:val="1361956914"/>
        <w:lock w:val="contentLocked"/>
      </w:sdtPr>
      <w:sdtEndPr/>
      <w:sdtContent>
        <w:tbl>
          <w:tblPr>
            <w:tblStyle w:val="affd"/>
            <w:tblW w:w="961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0"/>
            <w:gridCol w:w="3112"/>
            <w:gridCol w:w="2020"/>
            <w:gridCol w:w="1971"/>
            <w:gridCol w:w="1971"/>
          </w:tblGrid>
          <w:tr w:rsidR="00680543">
            <w:tc>
              <w:tcPr>
                <w:tcW w:w="540" w:type="dxa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№ за п/п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Етапи надання адміністративної послуги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Відповідальна особа і структурний підрозділ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Дія </w:t>
                </w:r>
              </w:p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(виконує, бере участь, погоджує, затверджує)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Строки виконання </w:t>
                </w:r>
              </w:p>
              <w:p w:rsidR="00680543" w:rsidRDefault="00527A3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(дії, рішення)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Прийом документів та реєстрація заяви 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Адміністратор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Кожного дня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Передача заяв по реєстру передач до управління соціального захисту населення 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Адміністратор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трьохденний термін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Перевіряє відповідність поданих заявником документів вимогам чинного законодавства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Управління соціального захисту населення Боярсь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кої міської ради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день з моменту прийняття заяви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Передає секретарю комісії з надання матеріальної допомоги мешканцям Боярської МТГ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Управління соціального захисту населення Боярської міської ради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Впродовж 3 робочих днів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Розгляд заяви на комісії з питань надання матеріальної допомоги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Управління соціального захисту населення Боярської міської ради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 черговому засіданні комісії з питань надання матеріальної допомоги</w:t>
                </w:r>
              </w:p>
            </w:tc>
          </w:tr>
          <w:tr w:rsidR="00680543">
            <w:tc>
              <w:tcPr>
                <w:tcW w:w="54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3112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Надає Витяг із засідання комісії</w:t>
                </w:r>
              </w:p>
            </w:tc>
            <w:tc>
              <w:tcPr>
                <w:tcW w:w="2020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Центр надання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адміністративних послуг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Виконує </w:t>
                </w:r>
              </w:p>
            </w:tc>
            <w:tc>
              <w:tcPr>
                <w:tcW w:w="1971" w:type="dxa"/>
              </w:tcPr>
              <w:p w:rsidR="00680543" w:rsidRDefault="00527A38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Упродовж місяця від          моменту засідання чергової комісії з питань надання матеріальної допомоги</w:t>
                </w:r>
              </w:p>
            </w:tc>
          </w:tr>
        </w:tbl>
      </w:sdtContent>
    </w:sdt>
    <w:p w:rsidR="00680543" w:rsidRDefault="00680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680543" w:rsidRDefault="00680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543" w:rsidRDefault="00680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8054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4E20"/>
    <w:multiLevelType w:val="multilevel"/>
    <w:tmpl w:val="ABE61DA4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43"/>
    <w:rsid w:val="00527A38"/>
    <w:rsid w:val="006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D86"/>
  <w15:docId w15:val="{43981EBD-3E3C-473A-9E86-73ECD38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uiPriority w:val="34"/>
    <w:qFormat/>
    <w:rsid w:val="00803A29"/>
    <w:pPr>
      <w:ind w:left="720"/>
      <w:contextualSpacing/>
    </w:p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uiPriority w:val="1"/>
    <w:qFormat/>
    <w:rsid w:val="00CB6C68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</w:tblPr>
  </w:style>
  <w:style w:type="table" w:customStyle="1" w:styleId="af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R5jZN6b8GRhInBjXZY/aPtoMw==">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3882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2025-09-30T11:44:00Z</dcterms:created>
  <dcterms:modified xsi:type="dcterms:W3CDTF">2025-09-30T11:44:00Z</dcterms:modified>
</cp:coreProperties>
</file>