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5A" w:rsidRDefault="00D6667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ІНФОРМАЦІЙНА КАРТКА </w:t>
      </w:r>
    </w:p>
    <w:p w:rsidR="00EE455A" w:rsidRDefault="00D6667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адміністративної послуги </w:t>
      </w:r>
    </w:p>
    <w:p w:rsidR="00EE455A" w:rsidRDefault="00D6667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«Призначення і виплата компенсації фізичним особам, які надають соціальні послуги з догляду на непрофесійній основі»</w:t>
      </w:r>
    </w:p>
    <w:p w:rsidR="00EE455A" w:rsidRDefault="00EE455A">
      <w:pPr>
        <w:spacing w:after="0" w:line="240" w:lineRule="auto"/>
        <w:jc w:val="center"/>
        <w:rPr>
          <w:rFonts w:ascii="Times New Roman" w:eastAsia="Times New Roman" w:hAnsi="Times New Roman" w:cs="Times New Roman"/>
          <w:b/>
          <w:sz w:val="28"/>
          <w:szCs w:val="28"/>
          <w:u w:val="single"/>
        </w:rPr>
      </w:pPr>
    </w:p>
    <w:p w:rsidR="00EE455A" w:rsidRDefault="00D66671">
      <w:pPr>
        <w:spacing w:after="0" w:line="240" w:lineRule="auto"/>
        <w:jc w:val="center"/>
        <w:rPr>
          <w:rFonts w:ascii="Times New Roman" w:eastAsia="Times New Roman" w:hAnsi="Times New Roman" w:cs="Times New Roman"/>
          <w:b/>
          <w:i/>
          <w:sz w:val="28"/>
          <w:szCs w:val="28"/>
          <w:u w:val="single"/>
        </w:rPr>
      </w:pPr>
      <w:r>
        <w:rPr>
          <w:rFonts w:ascii="Times New Roman" w:eastAsia="Times New Roman" w:hAnsi="Times New Roman" w:cs="Times New Roman"/>
          <w:b/>
          <w:sz w:val="28"/>
          <w:szCs w:val="28"/>
        </w:rPr>
        <w:t>Управління соціального захисту населення Боярської міської ради</w:t>
      </w:r>
    </w:p>
    <w:sdt>
      <w:sdtPr>
        <w:tag w:val="goog_rdk_6"/>
        <w:id w:val="1461201520"/>
        <w:lock w:val="contentLocked"/>
      </w:sdtPr>
      <w:sdtEndPr/>
      <w:sdtContent>
        <w:tbl>
          <w:tblPr>
            <w:tblStyle w:val="afff6"/>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3718"/>
            <w:gridCol w:w="6350"/>
          </w:tblGrid>
          <w:tr w:rsidR="00EE455A">
            <w:tc>
              <w:tcPr>
                <w:tcW w:w="10774" w:type="dxa"/>
                <w:gridSpan w:val="3"/>
              </w:tcPr>
              <w:p w:rsidR="00EE455A" w:rsidRDefault="00D6667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Інформація про центр надання адміністративних послуг</w:t>
                </w:r>
              </w:p>
            </w:tc>
          </w:tr>
          <w:tr w:rsidR="00EE455A">
            <w:tc>
              <w:tcPr>
                <w:tcW w:w="4424" w:type="dxa"/>
                <w:gridSpan w:val="2"/>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Найменування центру </w:t>
                </w:r>
                <w:r>
                  <w:rPr>
                    <w:rFonts w:ascii="Times New Roman" w:eastAsia="Times New Roman" w:hAnsi="Times New Roman" w:cs="Times New Roman"/>
                    <w:sz w:val="24"/>
                    <w:szCs w:val="24"/>
                  </w:rPr>
                  <w:t>надання адміністративних послуг, в якому здійснюється обслуговування суб’єкта звернення</w:t>
                </w:r>
              </w:p>
            </w:tc>
            <w:tc>
              <w:tcPr>
                <w:tcW w:w="6350"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 надання адміністративних послуг (ЦНАП) виконавчого комітету Боярської міської ради.</w:t>
                </w:r>
              </w:p>
            </w:tc>
          </w:tr>
          <w:tr w:rsidR="00EE455A">
            <w:tc>
              <w:tcPr>
                <w:tcW w:w="706"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718"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 центру надання адміністративних послуг</w:t>
                </w:r>
              </w:p>
            </w:tc>
            <w:tc>
              <w:tcPr>
                <w:tcW w:w="6350"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08154, вул. Грушевського, 39, м. Боярка, Київська обл.</w:t>
                </w:r>
              </w:p>
            </w:tc>
          </w:tr>
          <w:tr w:rsidR="00EE455A">
            <w:tc>
              <w:tcPr>
                <w:tcW w:w="706"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18"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щодо режиму роботи центру надання адміністративних послуг</w:t>
                </w:r>
              </w:p>
            </w:tc>
            <w:tc>
              <w:tcPr>
                <w:tcW w:w="6350" w:type="dxa"/>
              </w:tcPr>
              <w:p w:rsidR="00EE455A" w:rsidRDefault="00D66671">
                <w:pPr>
                  <w:keepLines/>
                  <w:tabs>
                    <w:tab w:val="left" w:pos="12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Понеділок   08:30 - 17:00</w:t>
                </w:r>
              </w:p>
              <w:p w:rsidR="00EE455A" w:rsidRDefault="00D66671">
                <w:pPr>
                  <w:keepLines/>
                  <w:tabs>
                    <w:tab w:val="left" w:pos="12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Вівторок     08:30 - 17:00</w:t>
                </w:r>
              </w:p>
              <w:p w:rsidR="00EE455A" w:rsidRDefault="00D66671">
                <w:pPr>
                  <w:keepLines/>
                  <w:tabs>
                    <w:tab w:val="left" w:pos="12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Середа         08:30 - 17:00</w:t>
                </w:r>
              </w:p>
              <w:p w:rsidR="00EE455A" w:rsidRDefault="00D66671">
                <w:pPr>
                  <w:keepLines/>
                  <w:tabs>
                    <w:tab w:val="left" w:pos="12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Четвер         08:30 - 17:00</w:t>
                </w:r>
              </w:p>
              <w:p w:rsidR="00EE455A" w:rsidRDefault="00D66671">
                <w:pPr>
                  <w:keepLines/>
                  <w:tabs>
                    <w:tab w:val="left" w:pos="126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П'ятниця     08:30 - 16:00</w:t>
                </w:r>
              </w:p>
              <w:p w:rsidR="00EE455A" w:rsidRDefault="00D66671">
                <w:pPr>
                  <w:keepLines/>
                  <w:tabs>
                    <w:tab w:val="left" w:pos="12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Субота        08:30 - 17:00</w:t>
                </w:r>
              </w:p>
              <w:p w:rsidR="00EE455A" w:rsidRDefault="00D66671">
                <w:pPr>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Неділя вихідний </w:t>
                </w:r>
              </w:p>
              <w:p w:rsidR="00EE455A" w:rsidRDefault="00EE455A">
                <w:pPr>
                  <w:spacing w:after="0" w:line="240" w:lineRule="auto"/>
                  <w:rPr>
                    <w:rFonts w:ascii="Times New Roman" w:eastAsia="Times New Roman" w:hAnsi="Times New Roman" w:cs="Times New Roman"/>
                    <w:sz w:val="24"/>
                    <w:szCs w:val="24"/>
                  </w:rPr>
                </w:pPr>
              </w:p>
            </w:tc>
          </w:tr>
          <w:tr w:rsidR="00EE455A">
            <w:tc>
              <w:tcPr>
                <w:tcW w:w="10774" w:type="dxa"/>
                <w:gridSpan w:val="3"/>
              </w:tcPr>
              <w:p w:rsidR="00EE455A" w:rsidRDefault="00D6667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Нормативні акти,</w:t>
                </w:r>
              </w:p>
              <w:p w:rsidR="00EE455A" w:rsidRDefault="00D6667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якими регламентується надання адміністративної послуги:</w:t>
                </w:r>
              </w:p>
            </w:tc>
          </w:tr>
          <w:tr w:rsidR="00EE455A">
            <w:tc>
              <w:tcPr>
                <w:tcW w:w="706"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18"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Закони України</w:t>
                </w:r>
              </w:p>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Підстави надання послуги (закони, нормативно-правові акти)</w:t>
                </w:r>
              </w:p>
            </w:tc>
            <w:tc>
              <w:tcPr>
                <w:tcW w:w="6350"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1.Закон України «Про соціальні послуги» </w:t>
                </w:r>
              </w:p>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2.Закон України «Про адміністративні послуги» </w:t>
                </w:r>
              </w:p>
            </w:tc>
          </w:tr>
          <w:tr w:rsidR="00EE455A">
            <w:trPr>
              <w:trHeight w:val="1218"/>
            </w:trPr>
            <w:tc>
              <w:tcPr>
                <w:tcW w:w="706"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718"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Акти центральних органів виконавчої влади</w:t>
                </w:r>
              </w:p>
            </w:tc>
            <w:tc>
              <w:tcPr>
                <w:tcW w:w="635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Постанова Кабінету Міністрів України від 23.09.2020 № 859 «Деякі питання призначення і виплати компенсації фізичним особам</w:t>
                </w:r>
                <w:r>
                  <w:rPr>
                    <w:rFonts w:ascii="Times New Roman" w:eastAsia="Times New Roman" w:hAnsi="Times New Roman" w:cs="Times New Roman"/>
                    <w:sz w:val="24"/>
                    <w:szCs w:val="24"/>
                  </w:rPr>
                  <w:t>, які надають соціальні послуги з догляду на непрофесійній основі»</w:t>
                </w:r>
              </w:p>
            </w:tc>
          </w:tr>
          <w:tr w:rsidR="00EE455A">
            <w:tc>
              <w:tcPr>
                <w:tcW w:w="10774" w:type="dxa"/>
                <w:gridSpan w:val="3"/>
              </w:tcPr>
              <w:p w:rsidR="00EE455A" w:rsidRDefault="00D6667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Умови отримання адміністративної послуги</w:t>
                </w:r>
              </w:p>
            </w:tc>
          </w:tr>
          <w:tr w:rsidR="00EE455A">
            <w:tc>
              <w:tcPr>
                <w:tcW w:w="706"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718"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Підстава для одержання адміністративної послуги</w:t>
                </w:r>
              </w:p>
            </w:tc>
            <w:tc>
              <w:tcPr>
                <w:tcW w:w="6350" w:type="dxa"/>
              </w:tcPr>
              <w:p w:rsidR="00EE455A" w:rsidRDefault="00D666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соціальних послуг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(далі - фізична особа, яка надає соціальні послуги) особам із числа членів</w:t>
                </w:r>
                <w:r>
                  <w:rPr>
                    <w:rFonts w:ascii="Times New Roman" w:eastAsia="Times New Roman" w:hAnsi="Times New Roman" w:cs="Times New Roman"/>
                    <w:sz w:val="24"/>
                    <w:szCs w:val="24"/>
                  </w:rPr>
                  <w:t xml:space="preserve"> своєї сім’ї, які спільно з нею проживають, пов’язані спільним побутом, мають взаємні права та обов’язки </w:t>
                </w:r>
                <w:r>
                  <w:rPr>
                    <w:rFonts w:ascii="Times New Roman" w:eastAsia="Times New Roman" w:hAnsi="Times New Roman" w:cs="Times New Roman"/>
                    <w:sz w:val="24"/>
                    <w:szCs w:val="24"/>
                  </w:rPr>
                  <w:br/>
                  <w:t>(далі – соціальні послуги з догляду на непрофесійній основі) та є:</w:t>
                </w:r>
              </w:p>
              <w:p w:rsidR="00EE455A" w:rsidRDefault="00D666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особами з інвалідністю I групи;</w:t>
                </w:r>
              </w:p>
              <w:p w:rsidR="00EE455A" w:rsidRDefault="00D666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дітьми з інвалідністю;</w:t>
                </w:r>
              </w:p>
              <w:p w:rsidR="00EE455A" w:rsidRDefault="00D666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громадянами похилого віку з </w:t>
                </w:r>
                <w:r>
                  <w:rPr>
                    <w:rFonts w:ascii="Times New Roman" w:eastAsia="Times New Roman" w:hAnsi="Times New Roman" w:cs="Times New Roman"/>
                    <w:sz w:val="24"/>
                    <w:szCs w:val="24"/>
                  </w:rPr>
                  <w:t>когнітивними порушеннями;</w:t>
                </w:r>
              </w:p>
              <w:p w:rsidR="00EE455A" w:rsidRDefault="00D666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невиліковно хворими, які через порушення функцій організму не можуть самостійно пересуватися та самообслуговуватися;</w:t>
                </w:r>
              </w:p>
              <w:p w:rsidR="00EE455A" w:rsidRDefault="00D666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дітьми, яким не встановлено інвалідність, але які є хворими на тяжкі перинатальні ураження нервової системи, тяжк</w:t>
                </w:r>
                <w:r>
                  <w:rPr>
                    <w:rFonts w:ascii="Times New Roman" w:eastAsia="Times New Roman" w:hAnsi="Times New Roman" w:cs="Times New Roman"/>
                    <w:sz w:val="24"/>
                    <w:szCs w:val="24"/>
                  </w:rPr>
                  <w:t xml:space="preserve">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w:t>
                </w:r>
                <w:r>
                  <w:rPr>
                    <w:rFonts w:ascii="Times New Roman" w:eastAsia="Times New Roman" w:hAnsi="Times New Roman" w:cs="Times New Roman"/>
                    <w:sz w:val="24"/>
                    <w:szCs w:val="24"/>
                  </w:rPr>
                  <w:lastRenderedPageBreak/>
                  <w:t>діабет I типу (інсулінозалежний), гострі або хронічні захворювання нирок IV ступеня, дітьми</w:t>
                </w:r>
                <w:r>
                  <w:rPr>
                    <w:rFonts w:ascii="Times New Roman" w:eastAsia="Times New Roman" w:hAnsi="Times New Roman" w:cs="Times New Roman"/>
                    <w:sz w:val="24"/>
                    <w:szCs w:val="24"/>
                  </w:rPr>
                  <w:t>,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w:t>
                </w:r>
                <w:r>
                  <w:rPr>
                    <w:rFonts w:ascii="Times New Roman" w:eastAsia="Times New Roman" w:hAnsi="Times New Roman" w:cs="Times New Roman"/>
                    <w:sz w:val="24"/>
                    <w:szCs w:val="24"/>
                  </w:rPr>
                  <w:t>адання такій дитині соціальних послуг, затвердженого постановою Кабінету Міністрів України від 27.12.2018 № 1161</w:t>
                </w:r>
              </w:p>
            </w:tc>
          </w:tr>
          <w:tr w:rsidR="00EE455A">
            <w:trPr>
              <w:trHeight w:val="4383"/>
            </w:trPr>
            <w:tc>
              <w:tcPr>
                <w:tcW w:w="706"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718"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6350" w:type="dxa"/>
              </w:tcPr>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Фізичною особою, яка надає соціальні послуги, подаються: </w:t>
                </w:r>
              </w:p>
              <w:p w:rsidR="00EE455A" w:rsidRDefault="00D666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заява про згоду надавати соціальні послуги з догляду на непрофесійній основі;</w:t>
                </w:r>
              </w:p>
              <w:p w:rsidR="00EE455A" w:rsidRDefault="00D666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заява про згоду отримувати соціальні послуги;</w:t>
                </w:r>
              </w:p>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заява про перерахування коштів із зазначенням рахунка в установі </w:t>
                </w:r>
                <w:r>
                  <w:rPr>
                    <w:rFonts w:ascii="Times New Roman" w:eastAsia="Times New Roman" w:hAnsi="Times New Roman" w:cs="Times New Roman"/>
                    <w:sz w:val="24"/>
                    <w:szCs w:val="24"/>
                  </w:rPr>
                  <w:t>банку;</w:t>
                </w:r>
              </w:p>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декларація про доходи та майновий стан (заповнюється на підставі довідок про доходи кожного члена сім’ї) за формою, затвердженою Мінсоцполітики (у декларації також зазначається інформація про склад сім’ї фізичної особи, яка надає соціальні послуг</w:t>
                </w:r>
                <w:r>
                  <w:rPr>
                    <w:rFonts w:ascii="Times New Roman" w:eastAsia="Times New Roman" w:hAnsi="Times New Roman" w:cs="Times New Roman"/>
                    <w:sz w:val="24"/>
                    <w:szCs w:val="24"/>
                  </w:rPr>
                  <w:t>и);</w:t>
                </w:r>
              </w:p>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копія свідоцтва про народження дитини (у разі надання соціальних послуг з догляду на непрофесійній основі дитині);</w:t>
                </w:r>
              </w:p>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копія медичного висновку про дитину з інвалідністю віком до 18 років за формою, затвердженою МОЗ (у разі надання соціальних послуг </w:t>
                </w:r>
                <w:r>
                  <w:rPr>
                    <w:rFonts w:ascii="Times New Roman" w:eastAsia="Times New Roman" w:hAnsi="Times New Roman" w:cs="Times New Roman"/>
                    <w:sz w:val="24"/>
                    <w:szCs w:val="24"/>
                  </w:rPr>
                  <w:t>з догляду на непрофесійній основі дитині);</w:t>
                </w:r>
              </w:p>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копія довідки до акта огляду медико-соціальною експертною комісією (для осіб з інвалідністю);</w:t>
                </w:r>
              </w:p>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один з наступних документів:</w:t>
                </w:r>
              </w:p>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-висновок лікарської комісії медичного закладу щодо потреби в догляді громадян похилого</w:t>
                </w:r>
                <w:r>
                  <w:rPr>
                    <w:rFonts w:ascii="Times New Roman" w:eastAsia="Times New Roman" w:hAnsi="Times New Roman" w:cs="Times New Roman"/>
                    <w:sz w:val="24"/>
                    <w:szCs w:val="24"/>
                  </w:rPr>
                  <w:t xml:space="preserve"> віку внаслідок когнітивних порушень за формою, затвердженою МОЗ;</w:t>
                </w:r>
              </w:p>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-висновок лікарської комісії медичного закладу щодо потреби в догляді невиліковно хворих осіб, які через порушення функцій організму не можуть самостійно пересуватися та самообслуговуватися,</w:t>
                </w:r>
                <w:r>
                  <w:rPr>
                    <w:rFonts w:ascii="Times New Roman" w:eastAsia="Times New Roman" w:hAnsi="Times New Roman" w:cs="Times New Roman"/>
                    <w:sz w:val="24"/>
                    <w:szCs w:val="24"/>
                  </w:rPr>
                  <w:t xml:space="preserve"> за формою, затвердженою МОЗ;</w:t>
                </w:r>
              </w:p>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довідка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w:t>
                </w:r>
                <w:r>
                  <w:rPr>
                    <w:rFonts w:ascii="Times New Roman" w:eastAsia="Times New Roman" w:hAnsi="Times New Roman" w:cs="Times New Roman"/>
                    <w:sz w:val="24"/>
                    <w:szCs w:val="24"/>
                  </w:rPr>
                  <w:t xml:space="preserve">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що видана лікарсько-консультативною комі</w:t>
                </w:r>
                <w:r>
                  <w:rPr>
                    <w:rFonts w:ascii="Times New Roman" w:eastAsia="Times New Roman" w:hAnsi="Times New Roman" w:cs="Times New Roman"/>
                    <w:sz w:val="24"/>
                    <w:szCs w:val="24"/>
                  </w:rPr>
                  <w:t>сією лікувально-профілактичного закладу в порядку та за формою, встановленими МОЗ (у разі надання соціальних послуг з догляду на непрофесійній основі дитині);</w:t>
                </w:r>
              </w:p>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копія рішення суду про обмеження цивільної дієздатності або визнання недієздатною особи, якій </w:t>
                </w:r>
                <w:r>
                  <w:rPr>
                    <w:rFonts w:ascii="Times New Roman" w:eastAsia="Times New Roman" w:hAnsi="Times New Roman" w:cs="Times New Roman"/>
                    <w:sz w:val="24"/>
                    <w:szCs w:val="24"/>
                  </w:rPr>
                  <w:t xml:space="preserve">надаються соціальні послуги з догляду на непрофесійній основі (для </w:t>
                </w:r>
                <w:r>
                  <w:rPr>
                    <w:rFonts w:ascii="Times New Roman" w:eastAsia="Times New Roman" w:hAnsi="Times New Roman" w:cs="Times New Roman"/>
                    <w:sz w:val="24"/>
                    <w:szCs w:val="24"/>
                  </w:rPr>
                  <w:lastRenderedPageBreak/>
                  <w:t>недієздатних осіб та осіб, цивільна дієздатність яких обмежена);</w:t>
                </w:r>
              </w:p>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копія рішення суду або органу опіки та піклування про призначення опікуна або піклувальника особі, якій надаються соціал</w:t>
                </w:r>
                <w:r>
                  <w:rPr>
                    <w:rFonts w:ascii="Times New Roman" w:eastAsia="Times New Roman" w:hAnsi="Times New Roman" w:cs="Times New Roman"/>
                    <w:sz w:val="24"/>
                    <w:szCs w:val="24"/>
                  </w:rPr>
                  <w:t>ьні послуги з догляду на непрофесійній основі (для опікунів або піклувальників);</w:t>
                </w:r>
              </w:p>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індивідуальні відомості про застраховану особу за формою ОК-5 (всіх членів сім’ї, зазначених в декларації окім неповнолітній дітей);</w:t>
                </w:r>
              </w:p>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відомості з Державного реєстру фіз</w:t>
                </w:r>
                <w:r>
                  <w:rPr>
                    <w:rFonts w:ascii="Times New Roman" w:eastAsia="Times New Roman" w:hAnsi="Times New Roman" w:cs="Times New Roman"/>
                    <w:sz w:val="24"/>
                    <w:szCs w:val="24"/>
                  </w:rPr>
                  <w:t>ичних осіб - платників податків про суми виплачених доходів та утриманих податків (всіх членів сім’ї, зазначених в декларації окрім неповнолітніх дітей за винятком дітей, які навчаються закладах загальної середньої, професійної (професійно-технічної), фахо</w:t>
                </w:r>
                <w:r>
                  <w:rPr>
                    <w:rFonts w:ascii="Times New Roman" w:eastAsia="Times New Roman" w:hAnsi="Times New Roman" w:cs="Times New Roman"/>
                    <w:sz w:val="24"/>
                    <w:szCs w:val="24"/>
                  </w:rPr>
                  <w:t>вої передвищої, вищої освіти);</w:t>
                </w:r>
              </w:p>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довідка з Центру зайнятості про перебування/не перебування на обліку (всіх членів сім’ї, зазначених в декларації окрім членів сім’ї непрацездатного віку).</w:t>
                </w:r>
              </w:p>
              <w:p w:rsidR="00EE455A" w:rsidRDefault="00EE455A">
                <w:pPr>
                  <w:spacing w:after="0" w:line="240" w:lineRule="auto"/>
                  <w:ind w:left="144" w:hanging="9"/>
                  <w:jc w:val="both"/>
                  <w:rPr>
                    <w:rFonts w:ascii="Times New Roman" w:eastAsia="Times New Roman" w:hAnsi="Times New Roman" w:cs="Times New Roman"/>
                    <w:sz w:val="24"/>
                    <w:szCs w:val="24"/>
                  </w:rPr>
                </w:pPr>
              </w:p>
            </w:tc>
          </w:tr>
          <w:tr w:rsidR="00EE455A">
            <w:tc>
              <w:tcPr>
                <w:tcW w:w="706"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718"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6350" w:type="dxa"/>
              </w:tcPr>
              <w:p w:rsidR="00EE455A" w:rsidRDefault="00D6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Фізичною особою, яка надає соціальні послуги, подаються заява про згоду надавати соціальні послуги з догляду на непрофесійній основі, особою / законним представником о</w:t>
                </w:r>
                <w:r>
                  <w:rPr>
                    <w:rFonts w:ascii="Times New Roman" w:eastAsia="Times New Roman" w:hAnsi="Times New Roman" w:cs="Times New Roman"/>
                    <w:sz w:val="24"/>
                    <w:szCs w:val="24"/>
                  </w:rPr>
                  <w:t>соби, яка потребує надання соціальних послуг, подається заява про згоду отримувати соціальні послуги від фізичної особи, яка надає соціальні послуги, та документи, необхідні для призначення компенсації, суб’єкту надання адміністративної послуги</w:t>
                </w:r>
              </w:p>
            </w:tc>
          </w:tr>
          <w:tr w:rsidR="00EE455A">
            <w:tc>
              <w:tcPr>
                <w:tcW w:w="706"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718"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Платність (безоплатність) надання адміністративної послуги</w:t>
                </w:r>
              </w:p>
            </w:tc>
            <w:tc>
              <w:tcPr>
                <w:tcW w:w="635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Безоплатно</w:t>
                </w:r>
              </w:p>
            </w:tc>
          </w:tr>
          <w:tr w:rsidR="00EE455A">
            <w:tc>
              <w:tcPr>
                <w:tcW w:w="706"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718"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Строк надання</w:t>
                </w:r>
              </w:p>
            </w:tc>
            <w:tc>
              <w:tcPr>
                <w:tcW w:w="6350" w:type="dxa"/>
              </w:tcPr>
              <w:p w:rsidR="00EE455A" w:rsidRDefault="00D6667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Рішення про призначення компенсації або про відмову в її наданні приймається протягом 10 днів з дати подання документів.</w:t>
                </w:r>
              </w:p>
              <w:p w:rsidR="00EE455A" w:rsidRDefault="00D6667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Компенсація призначається з місяця звернення за </w:t>
                </w:r>
                <w:r>
                  <w:rPr>
                    <w:rFonts w:ascii="Times New Roman" w:eastAsia="Times New Roman" w:hAnsi="Times New Roman" w:cs="Times New Roman"/>
                    <w:sz w:val="24"/>
                    <w:szCs w:val="24"/>
                  </w:rPr>
                  <w:t>нею, якщо протягом місяця з дня звернення подано всі необхідні документи.</w:t>
                </w:r>
              </w:p>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Компенсація призначається на 12 місяців і виплачується щомісяця.</w:t>
                </w:r>
              </w:p>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у довідці до акта огляду медико-соціальною експертною комісією, витягу з рішення експертної команди з оцінювання</w:t>
                </w:r>
                <w:r>
                  <w:rPr>
                    <w:rFonts w:ascii="Times New Roman" w:eastAsia="Times New Roman" w:hAnsi="Times New Roman" w:cs="Times New Roman"/>
                    <w:sz w:val="24"/>
                    <w:szCs w:val="24"/>
                  </w:rPr>
                  <w:t xml:space="preserve"> повсякденного функціонування особи, медичному висновку про дитину з інвалідністю віком до 18 років, висновку лікарської комісії медичного закладу щодо потреби в догляді, довідці про захворювання дитини на тяжке перинатальне ураження нервової системи, тяжк</w:t>
                </w:r>
                <w:r>
                  <w:rPr>
                    <w:rFonts w:ascii="Times New Roman" w:eastAsia="Times New Roman" w:hAnsi="Times New Roman" w:cs="Times New Roman"/>
                    <w:sz w:val="24"/>
                    <w:szCs w:val="24"/>
                  </w:rPr>
                  <w:t>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w:t>
                </w:r>
                <w:r>
                  <w:rPr>
                    <w:rFonts w:ascii="Times New Roman" w:eastAsia="Times New Roman" w:hAnsi="Times New Roman" w:cs="Times New Roman"/>
                    <w:sz w:val="24"/>
                    <w:szCs w:val="24"/>
                  </w:rPr>
                  <w:t>е, що дитина отримала тяжку травму, потребує трансплантації органа, потребує паліативної допомоги, зазначено строк, компенсація призначається на такий строк, але не більше ніж на 12 місяців</w:t>
                </w:r>
              </w:p>
            </w:tc>
          </w:tr>
          <w:tr w:rsidR="00EE455A">
            <w:tc>
              <w:tcPr>
                <w:tcW w:w="706"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3718"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Спосіб отримання відповіді (результату)</w:t>
                </w:r>
              </w:p>
            </w:tc>
            <w:tc>
              <w:tcPr>
                <w:tcW w:w="635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Фізичній особі, яка надає соціальні послуги повідомляється про призначення компенсації (відмова у її призначенні), наступного робочого дня після прийняття відповідного рішення</w:t>
                </w:r>
              </w:p>
            </w:tc>
          </w:tr>
          <w:tr w:rsidR="00EE455A">
            <w:tc>
              <w:tcPr>
                <w:tcW w:w="706"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718" w:type="dxa"/>
              </w:tcPr>
              <w:p w:rsidR="00EE455A" w:rsidRDefault="00D66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635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Компенсація </w:t>
                </w:r>
                <w:r>
                  <w:rPr>
                    <w:rFonts w:ascii="Times New Roman" w:eastAsia="Times New Roman" w:hAnsi="Times New Roman" w:cs="Times New Roman"/>
                    <w:sz w:val="24"/>
                    <w:szCs w:val="24"/>
                  </w:rPr>
                  <w:t>не призначається фізичним особам, які надають соціальні послуги з догляду особам, якщо такі особи отримують соціальні послуги догляду вдома, паліативного догляду, стаціонарного догляду; виплати на догляд відповідно до Законів України </w:t>
                </w:r>
                <w:hyperlink r:id="rId6">
                  <w:r>
                    <w:rPr>
                      <w:rFonts w:ascii="Times New Roman" w:eastAsia="Times New Roman" w:hAnsi="Times New Roman" w:cs="Times New Roman"/>
                      <w:sz w:val="24"/>
                      <w:szCs w:val="24"/>
                      <w:u w:val="single"/>
                    </w:rPr>
                    <w:t>“Про загальнообов’язкове державне соціальне страхування”</w:t>
                  </w:r>
                </w:hyperlink>
                <w:r>
                  <w:rPr>
                    <w:rFonts w:ascii="Times New Roman" w:eastAsia="Times New Roman" w:hAnsi="Times New Roman" w:cs="Times New Roman"/>
                    <w:sz w:val="24"/>
                    <w:szCs w:val="24"/>
                  </w:rPr>
                  <w:t>, </w:t>
                </w:r>
                <w:hyperlink r:id="rId7">
                  <w:r>
                    <w:rPr>
                      <w:rFonts w:ascii="Times New Roman" w:eastAsia="Times New Roman" w:hAnsi="Times New Roman" w:cs="Times New Roman"/>
                      <w:sz w:val="24"/>
                      <w:szCs w:val="24"/>
                      <w:u w:val="single"/>
                    </w:rPr>
                    <w:t>“Про державну соціальну допомогу особам, які не мають права на пенсію, та особам з інвалідністю”</w:t>
                  </w:r>
                </w:hyperlink>
                <w:r>
                  <w:rPr>
                    <w:rFonts w:ascii="Times New Roman" w:eastAsia="Times New Roman" w:hAnsi="Times New Roman" w:cs="Times New Roman"/>
                    <w:sz w:val="24"/>
                    <w:szCs w:val="24"/>
                  </w:rPr>
                  <w:t>, </w:t>
                </w:r>
                <w:hyperlink r:id="rId8">
                  <w:r>
                    <w:rPr>
                      <w:rFonts w:ascii="Times New Roman" w:eastAsia="Times New Roman" w:hAnsi="Times New Roman" w:cs="Times New Roman"/>
                      <w:sz w:val="24"/>
                      <w:szCs w:val="24"/>
                      <w:u w:val="single"/>
                    </w:rPr>
                    <w:t>“Про пенсійне забезпечення осіб, звільнених з військової служби, та деяких інших осіб”</w:t>
                  </w:r>
                </w:hyperlink>
                <w:r>
                  <w:rPr>
                    <w:rFonts w:ascii="Times New Roman" w:eastAsia="Times New Roman" w:hAnsi="Times New Roman" w:cs="Times New Roman"/>
                    <w:sz w:val="24"/>
                    <w:szCs w:val="24"/>
                  </w:rPr>
                  <w:t>, </w:t>
                </w:r>
                <w:hyperlink r:id="rId9">
                  <w:r>
                    <w:rPr>
                      <w:rFonts w:ascii="Times New Roman" w:eastAsia="Times New Roman" w:hAnsi="Times New Roman" w:cs="Times New Roman"/>
                      <w:sz w:val="24"/>
                      <w:szCs w:val="24"/>
                      <w:u w:val="single"/>
                    </w:rPr>
                    <w:t>“Про державну соціальну допомогу особам з інвалідністю з дитинства та дітям з інвалідністю”</w:t>
                  </w:r>
                </w:hyperlink>
                <w:r>
                  <w:rPr>
                    <w:rFonts w:ascii="Times New Roman" w:eastAsia="Times New Roman" w:hAnsi="Times New Roman" w:cs="Times New Roman"/>
                    <w:sz w:val="24"/>
                    <w:szCs w:val="24"/>
                  </w:rPr>
                  <w:t> (крім осіб з інвалідністю з дитинства I групи); допомогу на догляд відповідно до </w:t>
                </w:r>
                <w:hyperlink r:id="rId10">
                  <w:r>
                    <w:rPr>
                      <w:rFonts w:ascii="Times New Roman" w:eastAsia="Times New Roman" w:hAnsi="Times New Roman" w:cs="Times New Roman"/>
                      <w:sz w:val="24"/>
                      <w:szCs w:val="24"/>
                      <w:u w:val="single"/>
                    </w:rPr>
                    <w:t>Закону України</w:t>
                  </w:r>
                </w:hyperlink>
                <w:r>
                  <w:rPr>
                    <w:rFonts w:ascii="Times New Roman" w:eastAsia="Times New Roman" w:hAnsi="Times New Roman" w:cs="Times New Roman"/>
                    <w:sz w:val="24"/>
                    <w:szCs w:val="24"/>
                  </w:rPr>
                  <w:t> “Про психіатричну допомогу”;фізичним особам, які надають соціальні послуги з догляду без провадження підприємницької діяльності на професійній основі.</w:t>
                </w:r>
              </w:p>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Виплата компенсації припиняється у разі:</w:t>
                </w:r>
              </w:p>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зміни місця п</w:t>
                </w:r>
                <w:r>
                  <w:rPr>
                    <w:rFonts w:ascii="Times New Roman" w:eastAsia="Times New Roman" w:hAnsi="Times New Roman" w:cs="Times New Roman"/>
                    <w:sz w:val="24"/>
                    <w:szCs w:val="24"/>
                  </w:rPr>
                  <w:t>роживання / перебування особи, якій надаються соціальні послуги з догляду на непрофесійній основі, чи фізичної особи, яка надає соціальні послуги та отримує компенсацію;</w:t>
                </w:r>
              </w:p>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смерті особи, якій надаються соціальні послуги з догляду на непрофесійній основі;</w:t>
                </w:r>
              </w:p>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смер</w:t>
                </w:r>
                <w:r>
                  <w:rPr>
                    <w:rFonts w:ascii="Times New Roman" w:eastAsia="Times New Roman" w:hAnsi="Times New Roman" w:cs="Times New Roman"/>
                    <w:sz w:val="24"/>
                    <w:szCs w:val="24"/>
                  </w:rPr>
                  <w:t>ті фізичної особи, яка надавала соціальні послуги та отримувала компенсацію;</w:t>
                </w:r>
              </w:p>
              <w:p w:rsidR="00EE455A" w:rsidRDefault="00D6667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отримання особою, якій надаються соціальні послуги з догляду на непрофесійній основі, соціальних послуг з догляду вдома, паліативного, стаціонарного догляду або перебування такої </w:t>
                </w:r>
                <w:r>
                  <w:rPr>
                    <w:rFonts w:ascii="Times New Roman" w:eastAsia="Times New Roman" w:hAnsi="Times New Roman" w:cs="Times New Roman"/>
                    <w:sz w:val="24"/>
                    <w:szCs w:val="24"/>
                  </w:rPr>
                  <w:t>особи на повному державному утриманні;</w:t>
                </w:r>
              </w:p>
              <w:p w:rsidR="00EE455A" w:rsidRDefault="00D66671">
                <w:pPr>
                  <w:shd w:val="clear" w:color="auto" w:fill="FFFFFF"/>
                  <w:spacing w:after="0" w:line="240" w:lineRule="auto"/>
                  <w:jc w:val="both"/>
                  <w:rPr>
                    <w:rFonts w:ascii="Times New Roman" w:eastAsia="Times New Roman" w:hAnsi="Times New Roman" w:cs="Times New Roman"/>
                    <w:sz w:val="24"/>
                    <w:szCs w:val="24"/>
                  </w:rPr>
                </w:pPr>
                <w:bookmarkStart w:id="0" w:name="bookmark=kix.t3cv5taaf3f0" w:colFirst="0" w:colLast="0"/>
                <w:bookmarkEnd w:id="0"/>
                <w:r>
                  <w:rPr>
                    <w:rFonts w:ascii="Times New Roman" w:eastAsia="Times New Roman" w:hAnsi="Times New Roman" w:cs="Times New Roman"/>
                    <w:sz w:val="24"/>
                    <w:szCs w:val="24"/>
                  </w:rPr>
                  <w:t xml:space="preserve">перебування фізичної особи, яка надає соціальні послуги, за межами України понад 30 календарних днів; </w:t>
                </w:r>
              </w:p>
              <w:p w:rsidR="00EE455A" w:rsidRDefault="00D66671">
                <w:pPr>
                  <w:shd w:val="clear" w:color="auto" w:fill="FFFFFF"/>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перебування фізичної особи, яка надає соціальні послуги, на стаціонарному або санаторно-курортному лікуванні протя</w:t>
                </w:r>
                <w:r>
                  <w:rPr>
                    <w:rFonts w:ascii="Times New Roman" w:eastAsia="Times New Roman" w:hAnsi="Times New Roman" w:cs="Times New Roman"/>
                    <w:sz w:val="24"/>
                    <w:szCs w:val="24"/>
                  </w:rPr>
                  <w:t>гом 30 календарних днів</w:t>
                </w:r>
                <w:r>
                  <w:rPr>
                    <w:rFonts w:ascii="Times New Roman" w:eastAsia="Times New Roman" w:hAnsi="Times New Roman" w:cs="Times New Roman"/>
                    <w:color w:val="333333"/>
                    <w:sz w:val="24"/>
                    <w:szCs w:val="24"/>
                  </w:rPr>
                  <w:t>.</w:t>
                </w:r>
              </w:p>
              <w:p w:rsidR="00EE455A" w:rsidRDefault="00D66671">
                <w:pPr>
                  <w:spacing w:after="0" w:line="240" w:lineRule="auto"/>
                  <w:jc w:val="both"/>
                  <w:rPr>
                    <w:rFonts w:ascii="Times New Roman" w:eastAsia="Times New Roman" w:hAnsi="Times New Roman" w:cs="Times New Roman"/>
                    <w:sz w:val="24"/>
                    <w:szCs w:val="24"/>
                  </w:rPr>
                </w:pPr>
              </w:p>
            </w:tc>
          </w:tr>
        </w:tbl>
      </w:sdtContent>
    </w:sdt>
    <w:p w:rsidR="00EE455A" w:rsidRDefault="00EE455A">
      <w:pPr>
        <w:spacing w:after="0" w:line="240" w:lineRule="auto"/>
        <w:rPr>
          <w:rFonts w:ascii="Times New Roman" w:eastAsia="Times New Roman" w:hAnsi="Times New Roman" w:cs="Times New Roman"/>
          <w:i/>
          <w:sz w:val="28"/>
          <w:szCs w:val="28"/>
        </w:rPr>
      </w:pPr>
    </w:p>
    <w:p w:rsidR="00D66671" w:rsidRDefault="00D66671">
      <w:pPr>
        <w:spacing w:after="0" w:line="240" w:lineRule="auto"/>
        <w:rPr>
          <w:rFonts w:ascii="Times New Roman" w:eastAsia="Times New Roman" w:hAnsi="Times New Roman" w:cs="Times New Roman"/>
          <w:i/>
          <w:sz w:val="28"/>
          <w:szCs w:val="28"/>
        </w:rPr>
      </w:pPr>
    </w:p>
    <w:p w:rsidR="00D66671" w:rsidRDefault="00D66671">
      <w:pPr>
        <w:spacing w:after="0" w:line="240" w:lineRule="auto"/>
        <w:rPr>
          <w:rFonts w:ascii="Times New Roman" w:eastAsia="Times New Roman" w:hAnsi="Times New Roman" w:cs="Times New Roman"/>
          <w:i/>
          <w:sz w:val="28"/>
          <w:szCs w:val="28"/>
        </w:rPr>
      </w:pPr>
    </w:p>
    <w:p w:rsidR="00D66671" w:rsidRDefault="00D66671">
      <w:pPr>
        <w:spacing w:after="0" w:line="240" w:lineRule="auto"/>
        <w:rPr>
          <w:rFonts w:ascii="Times New Roman" w:eastAsia="Times New Roman" w:hAnsi="Times New Roman" w:cs="Times New Roman"/>
          <w:i/>
          <w:sz w:val="28"/>
          <w:szCs w:val="28"/>
        </w:rPr>
      </w:pPr>
    </w:p>
    <w:p w:rsidR="00D66671" w:rsidRDefault="00D66671">
      <w:pPr>
        <w:spacing w:after="0" w:line="240" w:lineRule="auto"/>
        <w:rPr>
          <w:rFonts w:ascii="Times New Roman" w:eastAsia="Times New Roman" w:hAnsi="Times New Roman" w:cs="Times New Roman"/>
          <w:i/>
          <w:sz w:val="28"/>
          <w:szCs w:val="28"/>
        </w:rPr>
      </w:pPr>
    </w:p>
    <w:p w:rsidR="00D66671" w:rsidRDefault="00D66671">
      <w:pPr>
        <w:spacing w:after="0" w:line="240" w:lineRule="auto"/>
        <w:rPr>
          <w:rFonts w:ascii="Times New Roman" w:eastAsia="Times New Roman" w:hAnsi="Times New Roman" w:cs="Times New Roman"/>
          <w:i/>
          <w:sz w:val="28"/>
          <w:szCs w:val="28"/>
        </w:rPr>
      </w:pPr>
    </w:p>
    <w:p w:rsidR="00D66671" w:rsidRDefault="00D66671">
      <w:pPr>
        <w:spacing w:after="0" w:line="240" w:lineRule="auto"/>
        <w:rPr>
          <w:rFonts w:ascii="Times New Roman" w:eastAsia="Times New Roman" w:hAnsi="Times New Roman" w:cs="Times New Roman"/>
          <w:i/>
          <w:sz w:val="28"/>
          <w:szCs w:val="28"/>
        </w:rPr>
      </w:pPr>
    </w:p>
    <w:p w:rsidR="00D66671" w:rsidRDefault="00D66671">
      <w:pPr>
        <w:spacing w:after="0" w:line="240" w:lineRule="auto"/>
        <w:rPr>
          <w:rFonts w:ascii="Times New Roman" w:eastAsia="Times New Roman" w:hAnsi="Times New Roman" w:cs="Times New Roman"/>
          <w:i/>
          <w:sz w:val="28"/>
          <w:szCs w:val="28"/>
        </w:rPr>
      </w:pPr>
    </w:p>
    <w:p w:rsidR="00D66671" w:rsidRDefault="00D66671">
      <w:pPr>
        <w:spacing w:after="0" w:line="240" w:lineRule="auto"/>
        <w:rPr>
          <w:rFonts w:ascii="Times New Roman" w:eastAsia="Times New Roman" w:hAnsi="Times New Roman" w:cs="Times New Roman"/>
          <w:i/>
          <w:sz w:val="28"/>
          <w:szCs w:val="28"/>
        </w:rPr>
      </w:pPr>
    </w:p>
    <w:p w:rsidR="00D66671" w:rsidRDefault="00D66671">
      <w:pPr>
        <w:spacing w:after="0" w:line="240" w:lineRule="auto"/>
        <w:rPr>
          <w:rFonts w:ascii="Times New Roman" w:eastAsia="Times New Roman" w:hAnsi="Times New Roman" w:cs="Times New Roman"/>
          <w:i/>
          <w:sz w:val="28"/>
          <w:szCs w:val="28"/>
        </w:rPr>
      </w:pPr>
    </w:p>
    <w:p w:rsidR="00D66671" w:rsidRDefault="00D66671">
      <w:pPr>
        <w:spacing w:after="0" w:line="240" w:lineRule="auto"/>
        <w:rPr>
          <w:rFonts w:ascii="Times New Roman" w:eastAsia="Times New Roman" w:hAnsi="Times New Roman" w:cs="Times New Roman"/>
          <w:i/>
          <w:sz w:val="28"/>
          <w:szCs w:val="28"/>
        </w:rPr>
      </w:pPr>
    </w:p>
    <w:p w:rsidR="00D66671" w:rsidRDefault="00D66671">
      <w:pPr>
        <w:spacing w:after="0" w:line="240" w:lineRule="auto"/>
        <w:rPr>
          <w:rFonts w:ascii="Times New Roman" w:eastAsia="Times New Roman" w:hAnsi="Times New Roman" w:cs="Times New Roman"/>
          <w:i/>
          <w:sz w:val="28"/>
          <w:szCs w:val="28"/>
        </w:rPr>
      </w:pPr>
      <w:bookmarkStart w:id="1" w:name="_GoBack"/>
      <w:bookmarkEnd w:id="1"/>
    </w:p>
    <w:p w:rsidR="00EE455A" w:rsidRDefault="00D6667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ТЕХНОЛОГІЧНА КАРТА</w:t>
      </w:r>
    </w:p>
    <w:p w:rsidR="00EE455A" w:rsidRDefault="00D6667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Призначення і виплата компенсації фізичним особам, які надають соціальні послуги з догляду на непрофесійній основі»</w:t>
      </w:r>
    </w:p>
    <w:p w:rsidR="00EE455A" w:rsidRDefault="00EE455A">
      <w:pPr>
        <w:spacing w:after="0" w:line="240" w:lineRule="auto"/>
        <w:jc w:val="center"/>
        <w:rPr>
          <w:rFonts w:ascii="Times New Roman" w:eastAsia="Times New Roman" w:hAnsi="Times New Roman" w:cs="Times New Roman"/>
          <w:b/>
          <w:sz w:val="28"/>
          <w:szCs w:val="28"/>
        </w:rPr>
      </w:pPr>
    </w:p>
    <w:p w:rsidR="00EE455A" w:rsidRDefault="00D6667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Центр надання адміністративних послуг виконавчого комітету </w:t>
      </w:r>
    </w:p>
    <w:p w:rsidR="00EE455A" w:rsidRDefault="00D6667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Боярської міської ради.</w:t>
      </w:r>
    </w:p>
    <w:p w:rsidR="00EE455A" w:rsidRDefault="00EE455A">
      <w:pPr>
        <w:spacing w:after="0" w:line="240" w:lineRule="auto"/>
        <w:jc w:val="center"/>
        <w:rPr>
          <w:rFonts w:ascii="Times New Roman" w:eastAsia="Times New Roman" w:hAnsi="Times New Roman" w:cs="Times New Roman"/>
          <w:b/>
          <w:sz w:val="28"/>
          <w:szCs w:val="28"/>
        </w:rPr>
      </w:pPr>
    </w:p>
    <w:p w:rsidR="00EE455A" w:rsidRDefault="00D6667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Управління соціального захисту населення Боярської міської ради</w:t>
      </w:r>
    </w:p>
    <w:sdt>
      <w:sdtPr>
        <w:tag w:val="goog_rdk_7"/>
        <w:id w:val="1484614154"/>
        <w:lock w:val="contentLocked"/>
      </w:sdtPr>
      <w:sdtEndPr/>
      <w:sdtContent>
        <w:tbl>
          <w:tblPr>
            <w:tblStyle w:val="afff7"/>
            <w:tblW w:w="96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3112"/>
            <w:gridCol w:w="2020"/>
            <w:gridCol w:w="1971"/>
            <w:gridCol w:w="1971"/>
          </w:tblGrid>
          <w:tr w:rsidR="00EE455A">
            <w:tc>
              <w:tcPr>
                <w:tcW w:w="540" w:type="dxa"/>
              </w:tcPr>
              <w:p w:rsidR="00EE455A" w:rsidRDefault="00D666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за п/п</w:t>
                </w:r>
              </w:p>
            </w:tc>
            <w:tc>
              <w:tcPr>
                <w:tcW w:w="3112" w:type="dxa"/>
              </w:tcPr>
              <w:p w:rsidR="00EE455A" w:rsidRDefault="00D666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Етапи надання адміністративної послуги</w:t>
                </w:r>
              </w:p>
            </w:tc>
            <w:tc>
              <w:tcPr>
                <w:tcW w:w="2020" w:type="dxa"/>
              </w:tcPr>
              <w:p w:rsidR="00EE455A" w:rsidRDefault="00D666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Відповідальна особа і структурний підрозділ</w:t>
                </w:r>
              </w:p>
            </w:tc>
            <w:tc>
              <w:tcPr>
                <w:tcW w:w="1971" w:type="dxa"/>
              </w:tcPr>
              <w:p w:rsidR="00EE455A" w:rsidRDefault="00D666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Дія </w:t>
                </w:r>
              </w:p>
              <w:p w:rsidR="00EE455A" w:rsidRDefault="00D666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(виконує, бере участь, погоджує, затверджує)</w:t>
                </w:r>
              </w:p>
            </w:tc>
            <w:tc>
              <w:tcPr>
                <w:tcW w:w="1971" w:type="dxa"/>
              </w:tcPr>
              <w:p w:rsidR="00EE455A" w:rsidRDefault="00D666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Строки виконання </w:t>
                </w:r>
              </w:p>
              <w:p w:rsidR="00EE455A" w:rsidRDefault="00D666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(дії, рішення)</w:t>
                </w:r>
              </w:p>
            </w:tc>
          </w:tr>
          <w:tr w:rsidR="00EE455A">
            <w:tc>
              <w:tcPr>
                <w:tcW w:w="54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2"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Прийом документів та реєстрація заяви </w:t>
                </w:r>
              </w:p>
            </w:tc>
            <w:tc>
              <w:tcPr>
                <w:tcW w:w="202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Адміністратор </w:t>
                </w:r>
              </w:p>
            </w:tc>
            <w:tc>
              <w:tcPr>
                <w:tcW w:w="1971"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Кожного дня</w:t>
                </w:r>
              </w:p>
            </w:tc>
          </w:tr>
          <w:tr w:rsidR="00EE455A">
            <w:tc>
              <w:tcPr>
                <w:tcW w:w="54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2"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Формування електронної справи</w:t>
                </w:r>
              </w:p>
            </w:tc>
            <w:tc>
              <w:tcPr>
                <w:tcW w:w="202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Адміністратор </w:t>
                </w:r>
              </w:p>
            </w:tc>
            <w:tc>
              <w:tcPr>
                <w:tcW w:w="1971"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день з моменту прийняття заяви</w:t>
                </w:r>
              </w:p>
            </w:tc>
          </w:tr>
          <w:tr w:rsidR="00EE455A">
            <w:tc>
              <w:tcPr>
                <w:tcW w:w="54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12"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Передача заяв по реєстру передач до управління соціального захисту населення </w:t>
                </w:r>
              </w:p>
            </w:tc>
            <w:tc>
              <w:tcPr>
                <w:tcW w:w="202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Адміністратор </w:t>
                </w:r>
              </w:p>
            </w:tc>
            <w:tc>
              <w:tcPr>
                <w:tcW w:w="1971"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день з моменту прийняття заяви</w:t>
                </w:r>
              </w:p>
            </w:tc>
          </w:tr>
          <w:tr w:rsidR="00EE455A">
            <w:tc>
              <w:tcPr>
                <w:tcW w:w="54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12"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Перевіряє відповідність поданих заявником документів вимогам чинного законодавства</w:t>
                </w:r>
              </w:p>
            </w:tc>
            <w:tc>
              <w:tcPr>
                <w:tcW w:w="202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соціального захисту населення Боярської міської ради</w:t>
                </w:r>
              </w:p>
            </w:tc>
            <w:tc>
              <w:tcPr>
                <w:tcW w:w="1971"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день з моменту прийняття заяви</w:t>
                </w:r>
              </w:p>
            </w:tc>
          </w:tr>
          <w:tr w:rsidR="00EE455A">
            <w:tc>
              <w:tcPr>
                <w:tcW w:w="54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12"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Розг</w:t>
                </w:r>
                <w:r>
                  <w:rPr>
                    <w:rFonts w:ascii="Times New Roman" w:eastAsia="Times New Roman" w:hAnsi="Times New Roman" w:cs="Times New Roman"/>
                    <w:sz w:val="24"/>
                    <w:szCs w:val="24"/>
                  </w:rPr>
                  <w:t>ляд заяви та прийняття рішення про призначення/відмову в призначені компенсації</w:t>
                </w:r>
              </w:p>
            </w:tc>
            <w:tc>
              <w:tcPr>
                <w:tcW w:w="202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соціального захисту населення Боярської міської ради</w:t>
                </w:r>
              </w:p>
            </w:tc>
            <w:tc>
              <w:tcPr>
                <w:tcW w:w="1971"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днів з дати подання документів та інформації, необхідних для призначення компенсації</w:t>
                </w:r>
              </w:p>
            </w:tc>
          </w:tr>
          <w:tr w:rsidR="00EE455A">
            <w:tc>
              <w:tcPr>
                <w:tcW w:w="54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12"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Надає рішення про призначення/відмову в призначенні компенсації</w:t>
                </w:r>
              </w:p>
            </w:tc>
            <w:tc>
              <w:tcPr>
                <w:tcW w:w="2020"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соціального захисту населення Боярської міської ради</w:t>
                </w:r>
              </w:p>
            </w:tc>
            <w:tc>
              <w:tcPr>
                <w:tcW w:w="1971"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EE455A" w:rsidRDefault="00D66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Наступного робочого дня з          моменту прийняття рішення</w:t>
                </w:r>
              </w:p>
            </w:tc>
          </w:tr>
        </w:tbl>
      </w:sdtContent>
    </w:sdt>
    <w:p w:rsidR="00EE455A" w:rsidRDefault="00EE455A">
      <w:pPr>
        <w:spacing w:after="0" w:line="240" w:lineRule="auto"/>
        <w:jc w:val="both"/>
        <w:rPr>
          <w:rFonts w:ascii="Times New Roman" w:eastAsia="Times New Roman" w:hAnsi="Times New Roman" w:cs="Times New Roman"/>
          <w:i/>
          <w:sz w:val="28"/>
          <w:szCs w:val="28"/>
        </w:rPr>
      </w:pPr>
    </w:p>
    <w:sectPr w:rsidR="00EE455A">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E4061"/>
    <w:multiLevelType w:val="multilevel"/>
    <w:tmpl w:val="30CE96D0"/>
    <w:lvl w:ilvl="0">
      <w:start w:val="1"/>
      <w:numFmt w:val="decimal"/>
      <w:lvlText w:val="%1."/>
      <w:lvlJc w:val="left"/>
      <w:pPr>
        <w:ind w:left="0" w:firstLine="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5A"/>
    <w:rsid w:val="00D66671"/>
    <w:rsid w:val="00EE45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3F9A"/>
  <w15:docId w15:val="{DDCAC31A-FA3B-465D-8186-9ADCABB6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styleId="a4">
    <w:name w:val="Table Grid"/>
    <w:basedOn w:val="a1"/>
    <w:uiPriority w:val="59"/>
    <w:rsid w:val="00E04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uiPriority w:val="99"/>
    <w:semiHidden/>
    <w:unhideWhenUsed/>
    <w:rsid w:val="000E61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portant-text">
    <w:name w:val="important-text"/>
    <w:basedOn w:val="a0"/>
    <w:rsid w:val="000E61E7"/>
  </w:style>
  <w:style w:type="character" w:styleId="a6">
    <w:name w:val="Hyperlink"/>
    <w:basedOn w:val="a0"/>
    <w:uiPriority w:val="99"/>
    <w:semiHidden/>
    <w:unhideWhenUsed/>
    <w:rsid w:val="000E61E7"/>
    <w:rPr>
      <w:color w:val="0000FF"/>
      <w:u w:val="single"/>
    </w:rPr>
  </w:style>
  <w:style w:type="paragraph" w:styleId="a7">
    <w:name w:val="List Paragraph"/>
    <w:uiPriority w:val="34"/>
    <w:qFormat/>
    <w:rsid w:val="00803A29"/>
    <w:pPr>
      <w:ind w:left="720"/>
      <w:contextualSpacing/>
    </w:pPr>
  </w:style>
  <w:style w:type="table" w:customStyle="1" w:styleId="a8">
    <w:basedOn w:val="TableNormal3"/>
    <w:pPr>
      <w:spacing w:after="0" w:line="240" w:lineRule="auto"/>
    </w:pPr>
    <w:tblPr>
      <w:tblStyleRowBandSize w:val="1"/>
      <w:tblStyleColBandSize w:val="1"/>
      <w:tblCellMar>
        <w:left w:w="108" w:type="dxa"/>
        <w:right w:w="108" w:type="dxa"/>
      </w:tblCellMar>
    </w:tblPr>
  </w:style>
  <w:style w:type="table" w:customStyle="1" w:styleId="a9">
    <w:basedOn w:val="TableNormal3"/>
    <w:pPr>
      <w:spacing w:after="0" w:line="240" w:lineRule="auto"/>
    </w:pPr>
    <w:tblPr>
      <w:tblStyleRowBandSize w:val="1"/>
      <w:tblStyleColBandSize w:val="1"/>
      <w:tblCellMar>
        <w:left w:w="108" w:type="dxa"/>
        <w:right w:w="108" w:type="dxa"/>
      </w:tblCellMar>
    </w:tblPr>
  </w:style>
  <w:style w:type="table" w:customStyle="1" w:styleId="aa">
    <w:basedOn w:val="TableNormal3"/>
    <w:tblPr>
      <w:tblStyleRowBandSize w:val="1"/>
      <w:tblStyleColBandSize w:val="1"/>
    </w:tblPr>
  </w:style>
  <w:style w:type="table" w:customStyle="1" w:styleId="ab">
    <w:basedOn w:val="TableNormal3"/>
    <w:pPr>
      <w:spacing w:after="0" w:line="240" w:lineRule="auto"/>
    </w:pPr>
    <w:tblPr>
      <w:tblStyleRowBandSize w:val="1"/>
      <w:tblStyleColBandSize w:val="1"/>
      <w:tblCellMar>
        <w:left w:w="108" w:type="dxa"/>
        <w:right w:w="108" w:type="dxa"/>
      </w:tblCellMar>
    </w:tblPr>
  </w:style>
  <w:style w:type="table" w:customStyle="1" w:styleId="ac">
    <w:basedOn w:val="TableNormal3"/>
    <w:pPr>
      <w:spacing w:after="0" w:line="240" w:lineRule="auto"/>
    </w:pPr>
    <w:tblPr>
      <w:tblStyleRowBandSize w:val="1"/>
      <w:tblStyleColBandSize w:val="1"/>
      <w:tblCellMar>
        <w:left w:w="108" w:type="dxa"/>
        <w:right w:w="108" w:type="dxa"/>
      </w:tblCellMar>
    </w:tblPr>
  </w:style>
  <w:style w:type="table" w:customStyle="1" w:styleId="ad">
    <w:basedOn w:val="TableNormal3"/>
    <w:pPr>
      <w:spacing w:after="0" w:line="240" w:lineRule="auto"/>
    </w:pPr>
    <w:tblPr>
      <w:tblStyleRowBandSize w:val="1"/>
      <w:tblStyleColBandSize w:val="1"/>
      <w:tblCellMar>
        <w:left w:w="108" w:type="dxa"/>
        <w:right w:w="108" w:type="dxa"/>
      </w:tblCellMar>
    </w:tblPr>
  </w:style>
  <w:style w:type="table" w:customStyle="1" w:styleId="ae">
    <w:basedOn w:val="TableNormal3"/>
    <w:tblPr>
      <w:tblStyleRowBandSize w:val="1"/>
      <w:tblStyleColBandSize w:val="1"/>
    </w:tblPr>
  </w:style>
  <w:style w:type="table" w:customStyle="1" w:styleId="af">
    <w:basedOn w:val="TableNormal3"/>
    <w:pPr>
      <w:spacing w:after="0" w:line="240" w:lineRule="auto"/>
    </w:pPr>
    <w:tblPr>
      <w:tblStyleRowBandSize w:val="1"/>
      <w:tblStyleColBandSize w:val="1"/>
      <w:tblCellMar>
        <w:left w:w="108" w:type="dxa"/>
        <w:right w:w="108" w:type="dxa"/>
      </w:tblCellMar>
    </w:tblPr>
  </w:style>
  <w:style w:type="paragraph" w:customStyle="1" w:styleId="TableParagraph">
    <w:name w:val="Table Paragraph"/>
    <w:uiPriority w:val="1"/>
    <w:qFormat/>
    <w:rsid w:val="00CB6C68"/>
    <w:pPr>
      <w:widowControl w:val="0"/>
      <w:autoSpaceDE w:val="0"/>
      <w:autoSpaceDN w:val="0"/>
      <w:spacing w:after="0" w:line="240" w:lineRule="auto"/>
      <w:ind w:left="107"/>
      <w:jc w:val="both"/>
    </w:pPr>
    <w:rPr>
      <w:rFonts w:ascii="Times New Roman" w:eastAsia="Times New Roman" w:hAnsi="Times New Roman" w:cs="Times New Roman"/>
      <w:lang w:val="uk-UA" w:eastAsia="en-US"/>
    </w:rPr>
  </w:style>
  <w:style w:type="table" w:customStyle="1" w:styleId="af0">
    <w:basedOn w:val="TableNormal2"/>
    <w:pPr>
      <w:spacing w:after="0" w:line="240" w:lineRule="auto"/>
    </w:pPr>
    <w:tblPr>
      <w:tblStyleRowBandSize w:val="1"/>
      <w:tblStyleColBandSize w:val="1"/>
      <w:tblCellMar>
        <w:left w:w="108" w:type="dxa"/>
        <w:right w:w="108" w:type="dxa"/>
      </w:tblCellMar>
    </w:tblPr>
  </w:style>
  <w:style w:type="table" w:customStyle="1" w:styleId="af1">
    <w:basedOn w:val="TableNormal2"/>
    <w:pPr>
      <w:spacing w:after="0" w:line="240" w:lineRule="auto"/>
    </w:pPr>
    <w:tblPr>
      <w:tblStyleRowBandSize w:val="1"/>
      <w:tblStyleColBandSize w:val="1"/>
      <w:tblCellMar>
        <w:left w:w="108" w:type="dxa"/>
        <w:right w:w="108" w:type="dxa"/>
      </w:tblCellMar>
    </w:tblPr>
  </w:style>
  <w:style w:type="table" w:customStyle="1" w:styleId="af2">
    <w:basedOn w:val="TableNormal2"/>
    <w:pPr>
      <w:spacing w:after="0" w:line="240" w:lineRule="auto"/>
    </w:pPr>
    <w:tblPr>
      <w:tblStyleRowBandSize w:val="1"/>
      <w:tblStyleColBandSize w:val="1"/>
      <w:tblCellMar>
        <w:left w:w="108" w:type="dxa"/>
        <w:right w:w="108" w:type="dxa"/>
      </w:tblCellMar>
    </w:tblPr>
  </w:style>
  <w:style w:type="table" w:customStyle="1" w:styleId="af3">
    <w:basedOn w:val="TableNormal2"/>
    <w:tblPr>
      <w:tblStyleRowBandSize w:val="1"/>
      <w:tblStyleColBandSize w:val="1"/>
    </w:tblPr>
  </w:style>
  <w:style w:type="table" w:customStyle="1" w:styleId="af4">
    <w:basedOn w:val="TableNormal2"/>
    <w:pPr>
      <w:spacing w:after="0" w:line="240" w:lineRule="auto"/>
    </w:pPr>
    <w:tblPr>
      <w:tblStyleRowBandSize w:val="1"/>
      <w:tblStyleColBandSize w:val="1"/>
      <w:tblCellMar>
        <w:left w:w="108" w:type="dxa"/>
        <w:right w:w="108" w:type="dxa"/>
      </w:tblCellMar>
    </w:tblPr>
  </w:style>
  <w:style w:type="table" w:customStyle="1" w:styleId="af5">
    <w:basedOn w:val="TableNormal2"/>
    <w:pPr>
      <w:spacing w:after="0" w:line="240" w:lineRule="auto"/>
    </w:pPr>
    <w:tblPr>
      <w:tblStyleRowBandSize w:val="1"/>
      <w:tblStyleColBandSize w:val="1"/>
      <w:tblCellMar>
        <w:left w:w="108" w:type="dxa"/>
        <w:right w:w="108" w:type="dxa"/>
      </w:tblCellMar>
    </w:tblPr>
  </w:style>
  <w:style w:type="table" w:customStyle="1" w:styleId="af6">
    <w:basedOn w:val="TableNormal2"/>
    <w:pPr>
      <w:spacing w:after="0" w:line="240" w:lineRule="auto"/>
    </w:pPr>
    <w:tblPr>
      <w:tblStyleRowBandSize w:val="1"/>
      <w:tblStyleColBandSize w:val="1"/>
      <w:tblCellMar>
        <w:left w:w="108" w:type="dxa"/>
        <w:right w:w="108" w:type="dxa"/>
      </w:tblCellMar>
    </w:tblPr>
  </w:style>
  <w:style w:type="table" w:customStyle="1" w:styleId="af7">
    <w:basedOn w:val="TableNormal2"/>
    <w:tblPr>
      <w:tblStyleRowBandSize w:val="1"/>
      <w:tblStyleColBandSize w:val="1"/>
    </w:tblPr>
  </w:style>
  <w:style w:type="table" w:customStyle="1" w:styleId="af8">
    <w:basedOn w:val="TableNormal2"/>
    <w:pPr>
      <w:spacing w:after="0" w:line="240" w:lineRule="auto"/>
    </w:pPr>
    <w:tblPr>
      <w:tblStyleRowBandSize w:val="1"/>
      <w:tblStyleColBandSize w:val="1"/>
      <w:tblCellMar>
        <w:left w:w="108" w:type="dxa"/>
        <w:right w:w="108" w:type="dxa"/>
      </w:tblCellMar>
    </w:tblPr>
  </w:style>
  <w:style w:type="table" w:customStyle="1" w:styleId="af9">
    <w:basedOn w:val="TableNormal2"/>
    <w:pPr>
      <w:spacing w:after="0" w:line="240" w:lineRule="auto"/>
    </w:pPr>
    <w:tblPr>
      <w:tblStyleRowBandSize w:val="1"/>
      <w:tblStyleColBandSize w:val="1"/>
      <w:tblCellMar>
        <w:left w:w="108" w:type="dxa"/>
        <w:right w:w="108" w:type="dxa"/>
      </w:tblCellMar>
    </w:tblPr>
  </w:style>
  <w:style w:type="table" w:customStyle="1" w:styleId="afa">
    <w:basedOn w:val="TableNormal2"/>
    <w:pPr>
      <w:spacing w:after="0" w:line="240" w:lineRule="auto"/>
    </w:pPr>
    <w:tblPr>
      <w:tblStyleRowBandSize w:val="1"/>
      <w:tblStyleColBandSize w:val="1"/>
      <w:tblCellMar>
        <w:left w:w="108" w:type="dxa"/>
        <w:right w:w="108" w:type="dxa"/>
      </w:tblCellMar>
    </w:tblPr>
  </w:style>
  <w:style w:type="table" w:customStyle="1" w:styleId="afb">
    <w:basedOn w:val="TableNormal2"/>
    <w:pPr>
      <w:spacing w:after="0" w:line="240" w:lineRule="auto"/>
    </w:pPr>
    <w:tblPr>
      <w:tblStyleRowBandSize w:val="1"/>
      <w:tblStyleColBandSize w:val="1"/>
      <w:tblCellMar>
        <w:left w:w="108" w:type="dxa"/>
        <w:right w:w="108" w:type="dxa"/>
      </w:tblCellMar>
    </w:tblPr>
  </w:style>
  <w:style w:type="table" w:customStyle="1" w:styleId="afc">
    <w:basedOn w:val="TableNormal2"/>
    <w:tblPr>
      <w:tblStyleRowBandSize w:val="1"/>
      <w:tblStyleColBandSize w:val="1"/>
    </w:tblPr>
  </w:style>
  <w:style w:type="table" w:customStyle="1" w:styleId="afd">
    <w:basedOn w:val="TableNormal2"/>
    <w:pPr>
      <w:spacing w:after="0" w:line="240" w:lineRule="auto"/>
    </w:pPr>
    <w:tblPr>
      <w:tblStyleRowBandSize w:val="1"/>
      <w:tblStyleColBandSize w:val="1"/>
      <w:tblCellMar>
        <w:left w:w="108" w:type="dxa"/>
        <w:right w:w="108" w:type="dxa"/>
      </w:tblCellMar>
    </w:tblPr>
  </w:style>
  <w:style w:type="table" w:customStyle="1" w:styleId="afe">
    <w:basedOn w:val="TableNormal2"/>
    <w:pPr>
      <w:spacing w:after="0" w:line="240" w:lineRule="auto"/>
    </w:pPr>
    <w:tblPr>
      <w:tblStyleRowBandSize w:val="1"/>
      <w:tblStyleColBandSize w:val="1"/>
      <w:tblCellMar>
        <w:left w:w="108" w:type="dxa"/>
        <w:right w:w="108" w:type="dxa"/>
      </w:tblCellMar>
    </w:tblPr>
  </w:style>
  <w:style w:type="table" w:customStyle="1" w:styleId="aff">
    <w:basedOn w:val="TableNormal2"/>
    <w:pPr>
      <w:spacing w:after="0" w:line="240" w:lineRule="auto"/>
    </w:pPr>
    <w:tblPr>
      <w:tblStyleRowBandSize w:val="1"/>
      <w:tblStyleColBandSize w:val="1"/>
      <w:tblCellMar>
        <w:left w:w="108" w:type="dxa"/>
        <w:right w:w="108" w:type="dxa"/>
      </w:tblCellMar>
    </w:tblPr>
  </w:style>
  <w:style w:type="table" w:customStyle="1" w:styleId="aff0">
    <w:basedOn w:val="TableNormal2"/>
    <w:tblPr>
      <w:tblStyleRowBandSize w:val="1"/>
      <w:tblStyleColBandSize w:val="1"/>
    </w:tblPr>
  </w:style>
  <w:style w:type="table" w:customStyle="1" w:styleId="aff1">
    <w:basedOn w:val="TableNormal2"/>
    <w:pPr>
      <w:spacing w:after="0" w:line="240" w:lineRule="auto"/>
    </w:pPr>
    <w:tblPr>
      <w:tblStyleRowBandSize w:val="1"/>
      <w:tblStyleColBandSize w:val="1"/>
      <w:tblCellMar>
        <w:left w:w="108" w:type="dxa"/>
        <w:right w:w="108" w:type="dxa"/>
      </w:tblCellMar>
    </w:tblPr>
  </w:style>
  <w:style w:type="table" w:customStyle="1" w:styleId="aff2">
    <w:basedOn w:val="TableNormal2"/>
    <w:pPr>
      <w:spacing w:after="0" w:line="240" w:lineRule="auto"/>
    </w:pPr>
    <w:tblPr>
      <w:tblStyleRowBandSize w:val="1"/>
      <w:tblStyleColBandSize w:val="1"/>
      <w:tblCellMar>
        <w:left w:w="108" w:type="dxa"/>
        <w:right w:w="108" w:type="dxa"/>
      </w:tblCellMar>
    </w:tblPr>
  </w:style>
  <w:style w:type="table" w:customStyle="1" w:styleId="aff3">
    <w:basedOn w:val="TableNormal2"/>
    <w:pPr>
      <w:spacing w:after="0" w:line="240" w:lineRule="auto"/>
    </w:pPr>
    <w:tblPr>
      <w:tblStyleRowBandSize w:val="1"/>
      <w:tblStyleColBandSize w:val="1"/>
      <w:tblCellMar>
        <w:left w:w="108" w:type="dxa"/>
        <w:right w:w="108" w:type="dxa"/>
      </w:tblCellMar>
    </w:tblPr>
  </w:style>
  <w:style w:type="table" w:customStyle="1" w:styleId="aff4">
    <w:basedOn w:val="TableNormal2"/>
    <w:pPr>
      <w:spacing w:after="0" w:line="240" w:lineRule="auto"/>
    </w:pPr>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paragraph" w:styleId="aff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9">
    <w:basedOn w:val="TableNormal2"/>
    <w:pPr>
      <w:spacing w:after="0" w:line="240" w:lineRule="auto"/>
    </w:pPr>
    <w:tblPr>
      <w:tblStyleRowBandSize w:val="1"/>
      <w:tblStyleColBandSize w:val="1"/>
      <w:tblCellMar>
        <w:left w:w="108" w:type="dxa"/>
        <w:right w:w="108" w:type="dxa"/>
      </w:tblCellMar>
    </w:tblPr>
  </w:style>
  <w:style w:type="table" w:customStyle="1" w:styleId="affa">
    <w:basedOn w:val="TableNormal2"/>
    <w:pPr>
      <w:spacing w:after="0" w:line="240" w:lineRule="auto"/>
    </w:pPr>
    <w:tblPr>
      <w:tblStyleRowBandSize w:val="1"/>
      <w:tblStyleColBandSize w:val="1"/>
      <w:tblCellMar>
        <w:left w:w="108" w:type="dxa"/>
        <w:right w:w="108" w:type="dxa"/>
      </w:tblCellMar>
    </w:tblPr>
  </w:style>
  <w:style w:type="table" w:customStyle="1" w:styleId="affb">
    <w:basedOn w:val="TableNormal2"/>
    <w:pPr>
      <w:spacing w:after="0" w:line="240" w:lineRule="auto"/>
    </w:pPr>
    <w:tblPr>
      <w:tblStyleRowBandSize w:val="1"/>
      <w:tblStyleColBandSize w:val="1"/>
      <w:tblCellMar>
        <w:left w:w="108" w:type="dxa"/>
        <w:right w:w="108" w:type="dxa"/>
      </w:tblCellMar>
    </w:tblPr>
  </w:style>
  <w:style w:type="table" w:customStyle="1" w:styleId="affc">
    <w:basedOn w:val="TableNormal2"/>
    <w:tblPr>
      <w:tblStyleRowBandSize w:val="1"/>
      <w:tblStyleColBandSize w:val="1"/>
    </w:tblPr>
  </w:style>
  <w:style w:type="table" w:customStyle="1" w:styleId="affd">
    <w:basedOn w:val="TableNormal2"/>
    <w:pPr>
      <w:spacing w:after="0" w:line="240" w:lineRule="auto"/>
    </w:pPr>
    <w:tblPr>
      <w:tblStyleRowBandSize w:val="1"/>
      <w:tblStyleColBandSize w:val="1"/>
      <w:tblCellMar>
        <w:left w:w="108" w:type="dxa"/>
        <w:right w:w="108" w:type="dxa"/>
      </w:tblCellMar>
    </w:tblPr>
  </w:style>
  <w:style w:type="table" w:customStyle="1" w:styleId="affe">
    <w:basedOn w:val="TableNormal2"/>
    <w:pPr>
      <w:spacing w:after="0" w:line="240" w:lineRule="auto"/>
    </w:pPr>
    <w:tblPr>
      <w:tblStyleRowBandSize w:val="1"/>
      <w:tblStyleColBandSize w:val="1"/>
      <w:tblCellMar>
        <w:left w:w="108" w:type="dxa"/>
        <w:right w:w="108" w:type="dxa"/>
      </w:tblCellMar>
    </w:tblPr>
  </w:style>
  <w:style w:type="table" w:customStyle="1" w:styleId="afff">
    <w:basedOn w:val="TableNormal2"/>
    <w:pPr>
      <w:spacing w:after="0" w:line="240" w:lineRule="auto"/>
    </w:pPr>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Pr>
  </w:style>
  <w:style w:type="table" w:customStyle="1" w:styleId="afff1">
    <w:basedOn w:val="TableNormal2"/>
    <w:pPr>
      <w:spacing w:after="0" w:line="240" w:lineRule="auto"/>
    </w:pPr>
    <w:tblPr>
      <w:tblStyleRowBandSize w:val="1"/>
      <w:tblStyleColBandSize w:val="1"/>
      <w:tblCellMar>
        <w:left w:w="108" w:type="dxa"/>
        <w:right w:w="108" w:type="dxa"/>
      </w:tblCellMar>
    </w:tblPr>
  </w:style>
  <w:style w:type="table" w:customStyle="1" w:styleId="afff2">
    <w:basedOn w:val="TableNormal2"/>
    <w:pPr>
      <w:spacing w:after="0" w:line="240" w:lineRule="auto"/>
    </w:pPr>
    <w:tblPr>
      <w:tblStyleRowBandSize w:val="1"/>
      <w:tblStyleColBandSize w:val="1"/>
      <w:tblCellMar>
        <w:left w:w="108" w:type="dxa"/>
        <w:right w:w="108" w:type="dxa"/>
      </w:tblCellMar>
    </w:tblPr>
  </w:style>
  <w:style w:type="table" w:customStyle="1" w:styleId="afff3">
    <w:basedOn w:val="TableNormal2"/>
    <w:pPr>
      <w:spacing w:after="0" w:line="240" w:lineRule="auto"/>
    </w:pPr>
    <w:tblPr>
      <w:tblStyleRowBandSize w:val="1"/>
      <w:tblStyleColBandSize w:val="1"/>
      <w:tblCellMar>
        <w:left w:w="108" w:type="dxa"/>
        <w:right w:w="108" w:type="dxa"/>
      </w:tblCellMar>
    </w:tblPr>
  </w:style>
  <w:style w:type="table" w:customStyle="1" w:styleId="afff4">
    <w:basedOn w:val="TableNormal2"/>
    <w:pPr>
      <w:spacing w:after="0" w:line="240" w:lineRule="auto"/>
    </w:pPr>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2262-12" TargetMode="External"/><Relationship Id="rId3" Type="http://schemas.openxmlformats.org/officeDocument/2006/relationships/styles" Target="styles.xml"/><Relationship Id="rId7" Type="http://schemas.openxmlformats.org/officeDocument/2006/relationships/hyperlink" Target="https://zakon.rada.gov.ua/laws/show/1727-1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1105-1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1489-14" TargetMode="External"/><Relationship Id="rId4" Type="http://schemas.openxmlformats.org/officeDocument/2006/relationships/settings" Target="settings.xml"/><Relationship Id="rId9" Type="http://schemas.openxmlformats.org/officeDocument/2006/relationships/hyperlink" Target="https://zakon.rada.gov.ua/laws/show/2109-1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R5jZN6b8GRhInBjXZY/aPtoMw==">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7236</Words>
  <Characters>4125</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amotrich</cp:lastModifiedBy>
  <cp:revision>2</cp:revision>
  <dcterms:created xsi:type="dcterms:W3CDTF">2025-09-30T11:57:00Z</dcterms:created>
  <dcterms:modified xsi:type="dcterms:W3CDTF">2025-09-30T11:57:00Z</dcterms:modified>
</cp:coreProperties>
</file>