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 №</w:t>
      </w:r>
      <w:r>
        <w:rPr>
          <w:spacing w:val="-1"/>
        </w:rPr>
        <w:t xml:space="preserve"> 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з надання </w:t>
      </w:r>
      <w:r>
        <w:rPr>
          <w:b/>
          <w:bCs/>
          <w:color w:val="000000"/>
          <w:sz w:val="28"/>
          <w:szCs w:val="28"/>
          <w:shd w:fill="FFFFFF" w:val="clear"/>
        </w:rPr>
        <w:t xml:space="preserve">державної допомоги </w:t>
      </w:r>
      <w:r>
        <w:rPr>
          <w:b/>
          <w:bCs/>
          <w:color w:val="auto"/>
          <w:sz w:val="28"/>
          <w:szCs w:val="28"/>
        </w:rPr>
        <w:t xml:space="preserve">на </w:t>
      </w:r>
    </w:p>
    <w:p>
      <w:pPr>
        <w:pStyle w:val="Default"/>
        <w:jc w:val="center"/>
        <w:rPr>
          <w:b/>
          <w:color w:val="auto"/>
          <w:sz w:val="26"/>
          <w:szCs w:val="26"/>
        </w:rPr>
      </w:pPr>
      <w:r>
        <w:rPr>
          <w:b/>
          <w:bCs/>
          <w:color w:val="auto"/>
          <w:sz w:val="28"/>
          <w:szCs w:val="28"/>
        </w:rPr>
        <w:t>дітей одиноким матерям</w:t>
      </w:r>
    </w:p>
    <w:p>
      <w:pPr>
        <w:pStyle w:val="Default"/>
        <w:jc w:val="center"/>
        <w:rPr>
          <w:b/>
          <w:color w:val="auto"/>
          <w:sz w:val="26"/>
          <w:szCs w:val="26"/>
        </w:rPr>
      </w:pPr>
      <w:r>
        <w:rPr>
          <w:b/>
          <w:color w:val="auto"/>
          <w:sz w:val="26"/>
          <w:szCs w:val="26"/>
        </w:rPr>
      </w:r>
    </w:p>
    <w:p>
      <w:pPr>
        <w:pStyle w:val="Default"/>
        <w:jc w:val="center"/>
        <w:rPr>
          <w:b/>
          <w:color w:val="auto"/>
          <w:sz w:val="26"/>
          <w:szCs w:val="26"/>
        </w:rPr>
      </w:pPr>
      <w:r>
        <w:rPr>
          <w:b/>
          <w:bCs/>
          <w:color w:val="000000"/>
          <w:sz w:val="26"/>
          <w:szCs w:val="26"/>
          <w:shd w:fill="FFFFFF" w:val="clear"/>
        </w:rPr>
        <w:t>Головне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iCs w:val="false"/>
                <w:sz w:val="28"/>
                <w:szCs w:val="28"/>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color w:val="000000"/>
              </w:rPr>
            </w:pPr>
            <w:r>
              <w:rPr>
                <w:color w:val="000000"/>
                <w:sz w:val="28"/>
                <w:szCs w:val="28"/>
              </w:rPr>
              <w:t xml:space="preserve">Постанова Кабінету Міністрів України </w:t>
              <w:br/>
              <w:t>від 22 липня 2020 року № 632 “Деякі питання виплати державної соціальної допомоги”;</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strike/>
                <w:sz w:val="28"/>
                <w:szCs w:val="28"/>
              </w:rPr>
            </w:pPr>
            <w:r>
              <w:rPr>
                <w:sz w:val="28"/>
                <w:szCs w:val="28"/>
              </w:rPr>
              <w:t>Одинокі матері (які не перебувають у шлюбі), одинокі усиновлювачі,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усиновлювача) дитини;</w:t>
            </w:r>
          </w:p>
          <w:p>
            <w:pPr>
              <w:pStyle w:val="Default"/>
              <w:widowControl w:val="false"/>
              <w:tabs>
                <w:tab w:val="clear" w:pos="708"/>
                <w:tab w:val="left" w:pos="229" w:leader="none"/>
              </w:tabs>
              <w:ind w:firstLine="390"/>
              <w:jc w:val="both"/>
              <w:rPr>
                <w:sz w:val="28"/>
                <w:szCs w:val="28"/>
                <w:shd w:fill="FFFFFF" w:val="clear"/>
              </w:rPr>
            </w:pPr>
            <w:r>
              <w:rPr>
                <w:color w:val="000000"/>
                <w:sz w:val="28"/>
                <w:szCs w:val="28"/>
                <w:shd w:fill="FFFFFF" w:val="clear"/>
              </w:rPr>
              <w:t xml:space="preserve">мати (батько) дітей у разі смерті одного з батьків, яка (який) не одержує на них пенсію в разі втрати годувальника, соціальну пенсію або державну соціальну допомогу дитині померлого годувальника, передбачену Законом України </w:t>
            </w:r>
            <w:r>
              <w:rPr>
                <w:color w:val="000000"/>
                <w:sz w:val="28"/>
                <w:szCs w:val="28"/>
                <w:shd w:fill="FFFFFF" w:val="clear"/>
                <w:lang w:val="ru-RU"/>
              </w:rPr>
              <w:t>“</w:t>
            </w:r>
            <w:r>
              <w:rPr>
                <w:color w:val="000000"/>
                <w:sz w:val="28"/>
                <w:szCs w:val="28"/>
                <w:shd w:fill="FFFFFF" w:val="clear"/>
              </w:rPr>
              <w:t>Про державну соціальну допомогу особам, які не мають права на пенсію, та особам з інвалідністю</w:t>
            </w:r>
            <w:r>
              <w:rPr>
                <w:color w:val="000000"/>
                <w:sz w:val="28"/>
                <w:szCs w:val="28"/>
                <w:shd w:fill="FFFFFF" w:val="clear"/>
                <w:lang w:val="ru-RU"/>
              </w:rPr>
              <w:t>”</w:t>
            </w:r>
            <w:r>
              <w:rPr>
                <w:color w:val="000000"/>
                <w:sz w:val="28"/>
                <w:szCs w:val="28"/>
                <w:shd w:fill="FFFFFF" w:val="clear"/>
              </w:rPr>
              <w:t>.</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widowControl w:val="false"/>
              <w:shd w:val="clear" w:color="auto" w:fill="FFFFFF"/>
              <w:ind w:firstLine="390"/>
              <w:rPr>
                <w:color w:val="000000"/>
              </w:rPr>
            </w:pPr>
            <w:r>
              <w:rPr>
                <w:color w:val="000000"/>
              </w:rPr>
              <w:t>декларація про доходи осіб, які звернулися за призначенням окремих видів державної соціальної допомоги за формою,</w:t>
            </w:r>
            <w:r>
              <w:rPr>
                <w:color w:val="000000"/>
                <w:shd w:fill="FFFFFF" w:val="clear"/>
              </w:rPr>
              <w:t xml:space="preserve"> затвердженою постановою №</w:t>
            </w:r>
            <w:r>
              <w:rPr/>
              <w:t> </w:t>
            </w:r>
            <w:r>
              <w:rPr>
                <w:color w:val="000000"/>
                <w:shd w:fill="FFFFFF" w:val="clear"/>
              </w:rPr>
              <w:t>765;</w:t>
            </w:r>
          </w:p>
          <w:p>
            <w:pPr>
              <w:pStyle w:val="Normal"/>
              <w:widowControl w:val="false"/>
              <w:shd w:val="clear" w:color="auto" w:fill="FFFFFF"/>
              <w:ind w:firstLine="390"/>
              <w:rPr>
                <w:color w:val="000000"/>
              </w:rPr>
            </w:pPr>
            <w:r>
              <w:rPr>
                <w:color w:val="000000"/>
              </w:rPr>
              <w:t xml:space="preserve">довідка про доходи у разі зазначення в декларації доходів, інформація про які відсутня в </w:t>
            </w:r>
            <w:r>
              <w:rPr>
                <w:color w:val="000000"/>
                <w:shd w:fill="FFFFFF" w:val="clear"/>
              </w:rPr>
              <w:t>Державній податковій службі України, Пенсійному фонді України, Фонді загальнообов’язкового державного соціального страхування на випадок безробіття та згідно із законодавством не може бути отримана за відповідним запитом, а в неможливості підтвердження таких доходів довідкою – письмове пояснення із зазначенням їх розміру</w:t>
            </w:r>
            <w:r>
              <w:rPr>
                <w:color w:val="000000"/>
              </w:rPr>
              <w:t>;</w:t>
            </w:r>
          </w:p>
          <w:p>
            <w:pPr>
              <w:pStyle w:val="Normal"/>
              <w:widowControl w:val="false"/>
              <w:shd w:val="clear" w:color="auto" w:fill="FFFFFF"/>
              <w:ind w:firstLine="390"/>
              <w:rPr>
                <w:color w:val="000000"/>
              </w:rPr>
            </w:pPr>
            <w:r>
              <w:rPr/>
              <w:t>копія свідоцтва про народження дитини;</w:t>
            </w:r>
          </w:p>
          <w:p>
            <w:pPr>
              <w:pStyle w:val="Normal"/>
              <w:widowControl w:val="false"/>
              <w:ind w:firstLine="391"/>
              <w:rPr>
                <w:color w:val="000000"/>
              </w:rPr>
            </w:pPr>
            <w:r>
              <w:rPr>
                <w:rFonts w:eastAsia="" w:eastAsiaTheme="minorEastAsia"/>
              </w:rPr>
              <w:t>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 (</w:t>
            </w:r>
            <w:r>
              <w:rPr>
                <w:color w:val="000000"/>
              </w:rPr>
              <w:t>у разі народження дитини за межами України).</w:t>
            </w:r>
          </w:p>
          <w:p>
            <w:pPr>
              <w:pStyle w:val="Normal"/>
              <w:widowControl w:val="false"/>
              <w:shd w:val="clear" w:color="auto" w:fill="FFFFFF"/>
              <w:ind w:firstLine="390"/>
              <w:rPr>
                <w:color w:val="000000"/>
              </w:rPr>
            </w:pPr>
            <w:r>
              <w:rPr>
                <w:color w:val="000000"/>
              </w:rPr>
              <w:t>Документи, що подаються в окремих випадках:</w:t>
            </w:r>
          </w:p>
          <w:p>
            <w:pPr>
              <w:pStyle w:val="Normal"/>
              <w:widowControl w:val="false"/>
              <w:shd w:val="clear" w:color="auto" w:fill="FFFFFF"/>
              <w:ind w:firstLine="391"/>
              <w:rPr>
                <w:color w:val="000000"/>
              </w:rPr>
            </w:pPr>
            <w:r>
              <w:rPr>
                <w:color w:val="000000"/>
              </w:rPr>
              <w:t>копія рішення про усиновлення (для усиновлювачів);</w:t>
            </w:r>
          </w:p>
          <w:p>
            <w:pPr>
              <w:pStyle w:val="Normal"/>
              <w:widowControl w:val="false"/>
              <w:shd w:val="clear" w:color="auto" w:fill="FFFFFF"/>
              <w:ind w:firstLine="390"/>
              <w:rPr>
                <w:color w:val="000000"/>
              </w:rPr>
            </w:pPr>
            <w:r>
              <w:rPr>
                <w:color w:val="000000"/>
                <w:sz w:val="28"/>
                <w:szCs w:val="28"/>
              </w:rPr>
              <w:t xml:space="preserve">копія свідоцтва про смерть одного з подружжя та довідка про неотримання на дитину пенсії та державної соціальної допомоги (у разі </w:t>
            </w:r>
            <w:r>
              <w:rPr>
                <w:color w:val="000000"/>
                <w:sz w:val="28"/>
                <w:szCs w:val="28"/>
                <w:shd w:fill="FFFFFF" w:val="clear"/>
              </w:rPr>
              <w:t xml:space="preserve">смерті одного з батьків дитини, якщо мати або батько не отримує на дитину пенсію у зв’язку із втратою годувальника, соціальну пенсію або державну соціальну допомогу дитині померлого годувальника, передбачену </w:t>
            </w:r>
            <w:hyperlink r:id="rId2" w:tgtFrame="_blank">
              <w:r>
                <w:rPr>
                  <w:rStyle w:val="Style9"/>
                  <w:color w:val="000000"/>
                  <w:sz w:val="28"/>
                  <w:szCs w:val="28"/>
                  <w:u w:val="none"/>
                  <w:shd w:fill="FFFFFF" w:val="clear"/>
                </w:rPr>
                <w:t>Законом України</w:t>
              </w:r>
            </w:hyperlink>
            <w:r>
              <w:rPr>
                <w:color w:val="000000"/>
                <w:sz w:val="28"/>
                <w:szCs w:val="28"/>
              </w:rPr>
              <w:t xml:space="preserve"> </w:t>
            </w:r>
            <w:r>
              <w:rPr>
                <w:color w:val="000000"/>
                <w:sz w:val="28"/>
                <w:szCs w:val="28"/>
                <w:shd w:fill="FFFFFF" w:val="clear"/>
              </w:rPr>
              <w:t>“Про державну соціальну допомогу особам, які не мають права на пенсію, та особам з інвалідністю”</w:t>
            </w:r>
            <w:r>
              <w:rPr>
                <w:color w:val="000000"/>
                <w:sz w:val="28"/>
                <w:szCs w:val="28"/>
              </w:rPr>
              <w:t>);</w:t>
            </w:r>
          </w:p>
          <w:p>
            <w:pPr>
              <w:pStyle w:val="Normal"/>
              <w:widowControl w:val="false"/>
              <w:shd w:val="clear" w:color="auto" w:fill="FFFFFF"/>
              <w:ind w:firstLine="390"/>
              <w:rPr>
                <w:color w:val="000000"/>
              </w:rPr>
            </w:pPr>
            <w:r>
              <w:rPr>
                <w:color w:val="000000"/>
              </w:rPr>
              <w:t>довідка закладу освіти про те, що дитина під час літніх канікул не перебувала на повному державному утриманні (у разі перебування вдома під час літніх канікул</w:t>
            </w:r>
            <w:r>
              <w:rPr>
                <w:color w:val="000000"/>
                <w:shd w:fill="FFFFFF" w:val="clear"/>
              </w:rPr>
              <w:t xml:space="preserve"> дитини, яка перебуває на утриманні в інтернатному закладі за рахунок держави</w:t>
            </w:r>
            <w:r>
              <w:rPr>
                <w:color w:val="000000"/>
              </w:rPr>
              <w:t>);</w:t>
            </w:r>
          </w:p>
          <w:p>
            <w:pPr>
              <w:pStyle w:val="Normal"/>
              <w:widowControl w:val="false"/>
              <w:shd w:val="clear" w:color="auto" w:fill="FFFFFF"/>
              <w:ind w:firstLine="390"/>
              <w:rPr>
                <w:color w:val="000000"/>
                <w:shd w:fill="FFFFFF" w:val="clear"/>
              </w:rPr>
            </w:pPr>
            <w:r>
              <w:rPr>
                <w:color w:val="000000"/>
                <w:shd w:fill="FFFFFF" w:val="clear"/>
              </w:rPr>
              <w:t>висновок центру соціальних служб про початкову оцінку потреб дитини та сім’ї із зазначенням інформації про факт проживання дитини з матір’ю (</w:t>
            </w:r>
            <w:r>
              <w:rPr>
                <w:color w:val="000000"/>
              </w:rPr>
              <w:t>у разі народження дитини за межами України та не</w:t>
            </w:r>
            <w:r>
              <w:rPr>
                <w:color w:val="000000"/>
                <w:shd w:fill="FFFFFF" w:val="clear"/>
              </w:rPr>
              <w:t>можливості подати документ, що підтверджує факт, що жінка є одинокою матір’ю);</w:t>
            </w:r>
          </w:p>
          <w:p>
            <w:pPr>
              <w:pStyle w:val="Normal"/>
              <w:widowControl w:val="false"/>
              <w:shd w:val="clear" w:color="auto" w:fill="FFFFFF"/>
              <w:ind w:firstLine="390"/>
              <w:rPr>
                <w:color w:val="000000"/>
                <w:shd w:fill="FFFFFF" w:val="clear"/>
              </w:rPr>
            </w:pPr>
            <w:r>
              <w:rPr>
                <w:color w:val="000000"/>
                <w:shd w:fill="FFFFFF" w:val="clear"/>
              </w:rPr>
              <w:t>відомості про навчання дитини за денною або дуальною формою здобуття освіти в закладах загальної середньої, професійної (професійно-технічної), фахової передвищої та вищої освіти (не довше ніж до досягнення ними 23 років);</w:t>
            </w:r>
          </w:p>
          <w:p>
            <w:pPr>
              <w:pStyle w:val="Normal"/>
              <w:widowControl w:val="false"/>
              <w:shd w:val="clear" w:color="auto" w:fill="FFFFFF"/>
              <w:ind w:firstLine="390"/>
              <w:rPr>
                <w:color w:val="000000"/>
              </w:rPr>
            </w:pPr>
            <w:r>
              <w:rPr>
                <w:color w:val="000000"/>
                <w:sz w:val="28"/>
                <w:szCs w:val="28"/>
                <w:shd w:fill="FFFFFF" w:val="clear"/>
              </w:rPr>
              <w:t xml:space="preserve">медичний висновок лікарсько-консультативної комісії про потребу дитини в догляді (форма первинної облікової документації № 080-1/о </w:t>
            </w:r>
            <w:r>
              <w:rPr>
                <w:color w:val="000000"/>
                <w:sz w:val="28"/>
                <w:szCs w:val="28"/>
              </w:rPr>
              <w:t>“</w:t>
            </w:r>
            <w:r>
              <w:rPr>
                <w:color w:val="000000"/>
                <w:sz w:val="28"/>
                <w:szCs w:val="28"/>
                <w:shd w:fill="FFFFFF" w:val="clear"/>
              </w:rPr>
              <w:t>Довідка про потребу дитини (дитини-інваліда) у домашньому догляді</w:t>
            </w:r>
            <w:r>
              <w:rPr>
                <w:color w:val="000000"/>
                <w:sz w:val="28"/>
                <w:szCs w:val="28"/>
              </w:rPr>
              <w:t>”</w:t>
            </w:r>
            <w:r>
              <w:rPr>
                <w:color w:val="000000"/>
                <w:sz w:val="28"/>
                <w:szCs w:val="28"/>
                <w:shd w:fill="FFFFFF" w:val="clear"/>
              </w:rPr>
              <w:t>), виписка з акта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w:t>
            </w:r>
          </w:p>
          <w:p>
            <w:pPr>
              <w:pStyle w:val="Normal"/>
              <w:widowControl w:val="false"/>
              <w:shd w:val="clear" w:color="auto" w:fill="FFFFFF"/>
              <w:ind w:firstLine="390"/>
              <w:rPr>
                <w:color w:val="000000"/>
              </w:rPr>
            </w:pPr>
            <w:r>
              <w:rPr>
                <w:color w:val="000000"/>
              </w:rPr>
              <w:t>витяг / відомості з Державного реєстра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w:t>
            </w:r>
          </w:p>
          <w:p>
            <w:pPr>
              <w:pStyle w:val="Normal"/>
              <w:widowControl w:val="false"/>
              <w:shd w:val="clear" w:color="auto" w:fill="FFFFFF"/>
              <w:ind w:firstLine="390"/>
              <w:rPr>
                <w:color w:val="000000"/>
              </w:rPr>
            </w:pPr>
            <w:r>
              <w:rPr>
                <w:color w:val="000000"/>
              </w:rPr>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pPr>
              <w:pStyle w:val="Normal"/>
              <w:widowControl w:val="false"/>
              <w:shd w:val="clear" w:color="auto" w:fill="FFFFFF"/>
              <w:ind w:firstLine="390"/>
              <w:rPr>
                <w:color w:val="000000"/>
              </w:rPr>
            </w:pPr>
            <w:r>
              <w:rPr>
                <w:color w:val="000000"/>
                <w:sz w:val="28"/>
                <w:szCs w:val="28"/>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p>
            <w:pPr>
              <w:pStyle w:val="Normal"/>
              <w:widowControl w:val="false"/>
              <w:shd w:val="clear" w:color="auto" w:fill="FFFFFF"/>
              <w:ind w:firstLine="390"/>
              <w:rPr>
                <w:color w:val="000000"/>
              </w:rPr>
            </w:pPr>
            <w:r>
              <w:rPr>
                <w:color w:val="000000"/>
                <w:sz w:val="28"/>
                <w:szCs w:val="28"/>
                <w:shd w:fill="FFFFFF" w:val="clear"/>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1" w:name="n506"/>
            <w:bookmarkEnd w:id="1"/>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ind w:firstLine="390"/>
              <w:rPr>
                <w:sz w:val="28"/>
                <w:szCs w:val="28"/>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2" w:name="n423"/>
            <w:bookmarkEnd w:id="2"/>
            <w:r>
              <w:rPr>
                <w:sz w:val="28"/>
                <w:szCs w:val="28"/>
              </w:rPr>
              <w:t>Заява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ind w:firstLine="390"/>
              <w:rPr/>
            </w:pPr>
            <w:bookmarkStart w:id="3" w:name="n172"/>
            <w:bookmarkEnd w:id="3"/>
            <w:r>
              <w:rPr/>
              <w:t>перебування дитини на повному державному утриманні;</w:t>
            </w:r>
          </w:p>
          <w:p>
            <w:pPr>
              <w:pStyle w:val="Normal"/>
              <w:widowControl w:val="false"/>
              <w:ind w:firstLine="371"/>
              <w:rPr/>
            </w:pPr>
            <w:bookmarkStart w:id="4" w:name="n176"/>
            <w:bookmarkEnd w:id="4"/>
            <w:r>
              <w:rPr>
                <w:sz w:val="28"/>
                <w:szCs w:val="28"/>
              </w:rPr>
              <w:t>жінка має дітей від особи, з якою вона не перебувала і не перебуває в зареєстрованому  шлюбі, але з якою вона веде спільне господарство, разом проживає і виховує дітей;</w:t>
            </w:r>
          </w:p>
          <w:p>
            <w:pPr>
              <w:pStyle w:val="Normal"/>
              <w:widowControl w:val="false"/>
              <w:ind w:firstLine="371"/>
              <w:rPr/>
            </w:pPr>
            <w:r>
              <w:rPr>
                <w:sz w:val="28"/>
                <w:szCs w:val="28"/>
                <w:shd w:fill="FFFFFF" w:val="clear"/>
              </w:rPr>
              <w:t xml:space="preserve">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або дуальною формою здобуття освіти в закладах загальної середньої, професійної (професійно-технічної), фахової передвищої, вищої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або відсутність будь-яких джерел для існування, пов’язана з тривалою хворобою (не менше ніж три місяці підряд) одного або кількох працездатних членів сім’ї, підтвердженою висновком лікарсько-консультативної комісії закладу охорони здоров’я, </w:t>
            </w:r>
            <w:r>
              <w:rPr>
                <w:sz w:val="28"/>
                <w:szCs w:val="28"/>
              </w:rPr>
              <w:t>особи протягом періоду, за який враховуються доходи: сплатили або за них сплачено єдиний внесок на загальнообов’язкове державне соціальне страхування у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r>
              <w:rPr>
                <w:sz w:val="28"/>
                <w:szCs w:val="28"/>
                <w:shd w:fill="FFFFFF" w:val="clear"/>
              </w:rPr>
              <w:t>;</w:t>
            </w:r>
          </w:p>
          <w:p>
            <w:pPr>
              <w:pStyle w:val="Normal"/>
              <w:widowControl w:val="false"/>
              <w:ind w:firstLine="390"/>
              <w:rPr>
                <w:shd w:fill="FFFFFF" w:val="clear"/>
              </w:rPr>
            </w:pPr>
            <w:r>
              <w:rPr>
                <w:shd w:fill="FFFFFF" w:val="clear"/>
              </w:rPr>
              <w:t>особи, які входять до складу сім’ї, протягом 12 місяців перед місяцем звернення за призначенням допомоги здійснили операції на суму, яка на дату проведення операції перевищує 50 тис. гривень:</w:t>
            </w:r>
          </w:p>
          <w:p>
            <w:pPr>
              <w:pStyle w:val="Normal"/>
              <w:widowControl w:val="false"/>
              <w:ind w:firstLine="390"/>
              <w:rPr/>
            </w:pPr>
            <w:r>
              <w:rPr/>
              <w:t>купівлю земельної ділянки, квартири (будинку) (крім житла, отриманого або придбаного за рахунок державного чи місцевого бюджету, або купівлі квартири (будинку) протягом шести місяців після продажу іншої квартири (іншого будинку), що були єдиним житловим приміщенням у власності особи),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pPr>
              <w:pStyle w:val="Normal"/>
              <w:widowControl w:val="false"/>
              <w:ind w:firstLine="371"/>
              <w:rPr/>
            </w:pPr>
            <w:r>
              <w:rPr>
                <w:sz w:val="28"/>
                <w:szCs w:val="28"/>
              </w:rPr>
              <w:t>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дарування);внески до статутного (складеного) капіталу товариства, підприємства, організації;</w:t>
            </w:r>
          </w:p>
          <w:p>
            <w:pPr>
              <w:pStyle w:val="Normal"/>
              <w:widowControl w:val="false"/>
              <w:ind w:firstLine="390"/>
              <w:rPr/>
            </w:pPr>
            <w:r>
              <w:rPr/>
              <w:t>благодійну діяльність (виключно у вигляді сплати коштів);</w:t>
            </w:r>
          </w:p>
          <w:p>
            <w:pPr>
              <w:pStyle w:val="Normal"/>
              <w:widowControl w:val="false"/>
              <w:ind w:firstLine="390"/>
              <w:rPr/>
            </w:pPr>
            <w:r>
              <w:rPr/>
              <w:t>надання поворотної / безповоротної фінансової допомоги, позики;</w:t>
            </w:r>
          </w:p>
          <w:p>
            <w:pPr>
              <w:pStyle w:val="Normal"/>
              <w:widowControl w:val="false"/>
              <w:ind w:firstLine="390"/>
              <w:rPr/>
            </w:pPr>
            <w:r>
              <w:rPr/>
              <w:t>особи, які входять до складу сім’ї, на перше число місяця, з якого призначається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pPr>
              <w:pStyle w:val="Normal"/>
              <w:widowControl w:val="false"/>
              <w:ind w:firstLine="390"/>
              <w:rPr/>
            </w:pPr>
            <w:r>
              <w:rPr/>
              <w:t>особи, які входять до складу сім’ї, протягом 12 місяців перед місяцем звернення за призначенням допомоги або під час її отримання здійснили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яка на дату проведення операції перевищує 50 тис. гривень;</w:t>
            </w:r>
          </w:p>
          <w:p>
            <w:pPr>
              <w:pStyle w:val="Normal"/>
              <w:widowControl w:val="false"/>
              <w:ind w:firstLine="371"/>
              <w:rPr/>
            </w:pPr>
            <w:r>
              <w:rPr>
                <w:sz w:val="28"/>
                <w:szCs w:val="28"/>
              </w:rPr>
              <w:t xml:space="preserve">у власності сім’ї є друга квартира (будинок), крім житла, яке розташоване на територіях населених пунктів, зазначених у </w:t>
            </w:r>
            <w:hyperlink r:id="rId3">
              <w:r>
                <w:rPr>
                  <w:sz w:val="28"/>
                  <w:szCs w:val="28"/>
                </w:rPr>
                <w:t>переліку територій, на яких ведуться (велися) бойові дії або тимчасово окупованих Російською Федерацією</w:t>
              </w:r>
            </w:hyperlink>
            <w:r>
              <w:rPr>
                <w:sz w:val="28"/>
                <w:szCs w:val="28"/>
              </w:rPr>
              <w:t>, затвердженому Мінрозвитку, для яких не визначено дату завершення бойових дій (припинення можливості бойових дій),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не здається в оренду);</w:t>
            </w:r>
          </w:p>
          <w:p>
            <w:pPr>
              <w:pStyle w:val="Normal"/>
              <w:widowControl w:val="false"/>
              <w:ind w:firstLine="390"/>
              <w:rPr/>
            </w:pPr>
            <w:r>
              <w:rPr/>
              <w:t>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pPr>
              <w:pStyle w:val="Normal"/>
              <w:widowControl w:val="false"/>
              <w:ind w:firstLine="371"/>
              <w:rPr/>
            </w:pPr>
            <w:r>
              <w:rPr>
                <w:sz w:val="28"/>
                <w:szCs w:val="28"/>
              </w:rPr>
              <w:t>встановлення факту подання недостовірних документів.</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5" w:name="o638"/>
            <w:bookmarkStart w:id="6" w:name="n424"/>
            <w:bookmarkEnd w:id="5"/>
            <w:bookmarkEnd w:id="6"/>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bookmarkStart w:id="7" w:name="n43"/>
      <w:bookmarkStart w:id="8" w:name="n43"/>
      <w:bookmarkEnd w:id="8"/>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10</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on.rada.gov.ua/laws/show/1727-15" TargetMode="External"/><Relationship Id="rId3" Type="http://schemas.openxmlformats.org/officeDocument/2006/relationships/hyperlink" Target="nau://ukr/z0380-25/"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Application>LibreOffice/7.5.0.3$Windows_X86_64 LibreOffice_project/c21113d003cd3efa8c53188764377a8272d9d6de</Application>
  <AppVersion>15.0000</AppVersion>
  <Pages>10</Pages>
  <Words>2216</Words>
  <Characters>14590</Characters>
  <CharactersWithSpaces>16768</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2026-02-23T09:27:38Z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