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w:t>
      </w:r>
      <w:r>
        <w:rPr/>
        <w:t xml:space="preserve"> №</w:t>
      </w:r>
      <w:r>
        <w:rPr>
          <w:spacing w:val="-1"/>
        </w:rPr>
        <w:t xml:space="preserve"> </w:t>
      </w:r>
      <w:r>
        <w:rPr>
          <w:spacing w:val="-1"/>
        </w:rPr>
        <w:t>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w:t>
      </w:r>
      <w:r>
        <w:rPr>
          <w:b/>
          <w:bCs/>
          <w:color w:val="auto"/>
          <w:sz w:val="28"/>
          <w:szCs w:val="28"/>
        </w:rPr>
        <w:t>з надання державної допомоги</w:t>
      </w:r>
      <w:r>
        <w:rPr>
          <w:b/>
          <w:bCs/>
          <w:color w:val="000000"/>
          <w:sz w:val="28"/>
          <w:szCs w:val="28"/>
          <w:shd w:fill="FFFFFF" w:val="clear"/>
        </w:rPr>
        <w:t xml:space="preserve"> </w:t>
      </w:r>
    </w:p>
    <w:p>
      <w:pPr>
        <w:pStyle w:val="Default"/>
        <w:jc w:val="center"/>
        <w:rPr>
          <w:b/>
          <w:color w:val="auto"/>
          <w:sz w:val="26"/>
          <w:szCs w:val="26"/>
        </w:rPr>
      </w:pPr>
      <w:r>
        <w:rPr>
          <w:b/>
          <w:bCs/>
          <w:color w:val="000000"/>
          <w:sz w:val="28"/>
          <w:szCs w:val="28"/>
          <w:shd w:fill="FFFFFF" w:val="clear"/>
        </w:rPr>
        <w:t>при народженні дитини</w:t>
      </w:r>
    </w:p>
    <w:p>
      <w:pPr>
        <w:pStyle w:val="Default"/>
        <w:jc w:val="center"/>
        <w:rPr>
          <w:b/>
          <w:color w:val="auto"/>
          <w:sz w:val="26"/>
          <w:szCs w:val="26"/>
        </w:rPr>
      </w:pPr>
      <w:r>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Default"/>
        <w:jc w:val="center"/>
        <w:rPr>
          <w:b/>
          <w:color w:val="auto"/>
          <w:sz w:val="26"/>
          <w:szCs w:val="26"/>
        </w:rPr>
      </w:pPr>
      <w:r>
        <w:rPr/>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p>
            <w:pPr>
              <w:pStyle w:val="Normal"/>
              <w:widowControl w:val="false"/>
              <w:tabs>
                <w:tab w:val="clear" w:pos="708"/>
                <w:tab w:val="left" w:pos="229" w:leader="none"/>
              </w:tabs>
              <w:ind w:firstLine="390"/>
              <w:rPr/>
            </w:pPr>
            <w:r>
              <w:rPr>
                <w:sz w:val="28"/>
                <w:szCs w:val="28"/>
              </w:rPr>
              <w:t>Порядок надання допомоги при народженні дитини, затверджений постановою Кабінету Міністрів України від 31 грудня 2025 року № 1805.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z w:val="28"/>
                <w:szCs w:val="28"/>
              </w:rPr>
            </w:pPr>
            <w:r>
              <w:rPr>
                <w:sz w:val="28"/>
                <w:szCs w:val="28"/>
              </w:rPr>
              <w:t xml:space="preserve">Один з батьків дитини або опікун, </w:t>
            </w:r>
            <w:bookmarkStart w:id="1" w:name="3__Право_на_допомогу_при_народженні_дити"/>
            <w:bookmarkEnd w:id="1"/>
            <w:r>
              <w:rPr>
                <w:sz w:val="28"/>
                <w:szCs w:val="28"/>
              </w:rPr>
              <w:t>з яким дитина, яка народилася після 31 грудня 2025 року, постійно проживає;</w:t>
            </w:r>
          </w:p>
          <w:p>
            <w:pPr>
              <w:pStyle w:val="Default"/>
              <w:widowControl w:val="false"/>
              <w:tabs>
                <w:tab w:val="clear" w:pos="708"/>
                <w:tab w:val="left" w:pos="229" w:leader="none"/>
              </w:tabs>
              <w:ind w:firstLine="390"/>
              <w:jc w:val="both"/>
              <w:rPr>
                <w:color w:val="auto"/>
                <w:sz w:val="28"/>
                <w:szCs w:val="28"/>
                <w:shd w:fill="FFFFFF" w:val="clear"/>
              </w:rPr>
            </w:pPr>
            <w:bookmarkStart w:id="2" w:name="15__Допомога_при_народженні_дитини__не_о"/>
            <w:bookmarkEnd w:id="2"/>
            <w:r>
              <w:rPr>
                <w:color w:val="000000" w:themeColor="text1"/>
                <w:sz w:val="28"/>
                <w:szCs w:val="28"/>
                <w:shd w:fill="FFFFFF" w:val="clear"/>
              </w:rPr>
              <w:t>другий із батьків дитини, опікун (у разі неодержання допомоги при народженні дитини через смерть одного з батьків, якому ця допомога була призначена).</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bookmarkStart w:id="3" w:name="11__Допомога_при_народженні_дитини_також"/>
            <w:bookmarkEnd w:id="3"/>
            <w:r>
              <w:rPr>
                <w:sz w:val="28"/>
                <w:szCs w:val="28"/>
              </w:rPr>
              <w:t>;</w:t>
            </w:r>
          </w:p>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 xml:space="preserve">у межах комплексної електронної публічної послуги </w:t>
            </w:r>
            <w:r>
              <w:rPr>
                <w:color w:val="000000"/>
                <w:sz w:val="28"/>
                <w:szCs w:val="28"/>
                <w:lang w:val="ru-RU"/>
              </w:rPr>
              <w:t>“</w:t>
            </w:r>
            <w:r>
              <w:rPr>
                <w:color w:val="000000"/>
                <w:sz w:val="28"/>
                <w:szCs w:val="28"/>
              </w:rPr>
              <w:t>єМалятко</w:t>
            </w:r>
            <w:r>
              <w:rPr>
                <w:color w:val="000000"/>
                <w:sz w:val="28"/>
                <w:szCs w:val="28"/>
                <w:lang w:val="ru-RU"/>
              </w:rPr>
              <w:t>”</w:t>
            </w:r>
            <w:r>
              <w:rPr>
                <w:color w:val="000000"/>
                <w:sz w:val="28"/>
                <w:szCs w:val="28"/>
              </w:rPr>
              <w:t>.</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widowControl w:val="false"/>
              <w:shd w:val="clear" w:color="auto" w:fill="FFFFFF"/>
              <w:ind w:firstLine="390"/>
              <w:rPr/>
            </w:pPr>
            <w:r>
              <w:rPr/>
              <w:t>копія свідоцтва про народження дитини;</w:t>
            </w:r>
          </w:p>
          <w:p>
            <w:pPr>
              <w:pStyle w:val="Normal"/>
              <w:widowControl w:val="false"/>
              <w:shd w:val="clear" w:color="auto" w:fill="FFFFFF"/>
              <w:ind w:firstLine="390"/>
              <w:rPr/>
            </w:pPr>
            <w:bookmarkStart w:id="4" w:name="12__Жінки__які_мають_адресу_зареєстрован"/>
            <w:bookmarkEnd w:id="4"/>
            <w:r>
              <w:rPr/>
              <w:t xml:space="preserve">виданий компетентними органами країни перебування і легалізований в установленому порядку документ, що засвідчує народження дитини, якщо інше не передбачено міжнародними договорами України (якщо жінка, яка має адресу зареєстрованого / задекларованого місця проживання (перебування) на території України, народила дитину під час тимчасового перебування за межами України, а для отримувача,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 </w:t>
            </w:r>
            <w:bookmarkStart w:id="5" w:name="13__У_період_воєнного_стану_для_призначе"/>
            <w:bookmarkEnd w:id="5"/>
            <w:r>
              <w:rPr/>
              <w:t>з перекладом на українську мову, вірність якого або справжність підпису перекладача повинні бути засвідчені нотаріально, та копію свідоцтва (диплома) про кваліфікацію перекладача, що підтверджує володіння відповідною іноземною мовою та надає їй право провадити викладацьку діяльність);</w:t>
            </w:r>
          </w:p>
          <w:p>
            <w:pPr>
              <w:pStyle w:val="Normal"/>
              <w:widowControl w:val="false"/>
              <w:shd w:val="clear" w:color="auto" w:fill="FFFFFF"/>
              <w:ind w:firstLine="390"/>
              <w:rPr/>
            </w:pPr>
            <w:r>
              <w:rPr/>
              <w:t>копія рішення про встановлення опіки (у разі подання заяви опікуном дитини).</w:t>
            </w:r>
          </w:p>
          <w:p>
            <w:pPr>
              <w:pStyle w:val="Normal"/>
              <w:widowControl w:val="false"/>
              <w:shd w:val="clear" w:color="auto" w:fill="FFFFFF"/>
              <w:ind w:firstLine="390"/>
              <w:rPr/>
            </w:pPr>
            <w:r>
              <w:rPr>
                <w:color w:val="000000"/>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pPr>
              <w:pStyle w:val="Normal"/>
              <w:widowControl w:val="false"/>
              <w:ind w:firstLine="371"/>
              <w:rPr/>
            </w:pPr>
            <w:r>
              <w:rPr>
                <w:color w:val="000000"/>
                <w:sz w:val="28"/>
                <w:szCs w:val="28"/>
              </w:rPr>
              <w:t xml:space="preserve">Допомога при народженні дитини також надається в межах комплексної електронної публічної послуги </w:t>
            </w:r>
            <w:r>
              <w:rPr>
                <w:color w:val="000000"/>
                <w:sz w:val="28"/>
                <w:szCs w:val="28"/>
                <w:lang w:val="ru-RU"/>
              </w:rPr>
              <w:t>“</w:t>
            </w:r>
            <w:r>
              <w:rPr>
                <w:color w:val="000000"/>
                <w:sz w:val="28"/>
                <w:szCs w:val="28"/>
              </w:rPr>
              <w:t>єМалятко</w:t>
            </w:r>
            <w:r>
              <w:rPr>
                <w:color w:val="000000"/>
                <w:sz w:val="28"/>
                <w:szCs w:val="28"/>
                <w:lang w:val="ru-RU"/>
              </w:rPr>
              <w:t>”</w:t>
            </w:r>
            <w:r>
              <w:rPr>
                <w:color w:val="000000"/>
                <w:sz w:val="28"/>
                <w:szCs w:val="28"/>
              </w:rPr>
              <w:t xml:space="preserve"> шляхом подання батьками або одним із них заяви про державну реєстрацію народження та внесення до такої заяви відомостей, необхідних для призначення допомоги при народженні дитини відповідно до </w:t>
            </w:r>
            <w:hyperlink r:id="rId2">
              <w:r>
                <w:rPr>
                  <w:color w:val="000000"/>
                  <w:sz w:val="28"/>
                  <w:szCs w:val="28"/>
                </w:rPr>
                <w:t xml:space="preserve">Порядку надання комплексної електронної публічної послуги </w:t>
              </w:r>
              <w:r>
                <w:rPr>
                  <w:color w:val="000000"/>
                  <w:sz w:val="28"/>
                  <w:szCs w:val="28"/>
                  <w:lang w:val="ru-RU"/>
                </w:rPr>
                <w:t>“</w:t>
              </w:r>
              <w:r>
                <w:rPr>
                  <w:color w:val="000000"/>
                  <w:sz w:val="28"/>
                  <w:szCs w:val="28"/>
                </w:rPr>
                <w:t>єМалятко</w:t>
              </w:r>
              <w:r>
                <w:rPr>
                  <w:color w:val="000000"/>
                  <w:sz w:val="28"/>
                  <w:szCs w:val="28"/>
                  <w:lang w:val="ru-RU"/>
                </w:rPr>
                <w:t>”</w:t>
              </w:r>
            </w:hyperlink>
            <w:r>
              <w:rPr>
                <w:color w:val="000000"/>
                <w:sz w:val="28"/>
                <w:szCs w:val="28"/>
              </w:rPr>
              <w:t>, затвердженого постановою Кабінету Міністрів України від 11</w:t>
            </w:r>
            <w:r>
              <w:rPr>
                <w:color w:val="000000"/>
                <w:sz w:val="28"/>
                <w:szCs w:val="28"/>
                <w:lang w:val="en-US"/>
              </w:rPr>
              <w:t> </w:t>
            </w:r>
            <w:r>
              <w:rPr>
                <w:color w:val="000000"/>
                <w:sz w:val="28"/>
                <w:szCs w:val="28"/>
              </w:rPr>
              <w:t>серпня 2023</w:t>
            </w:r>
            <w:r>
              <w:rPr>
                <w:color w:val="000000"/>
                <w:sz w:val="28"/>
                <w:szCs w:val="28"/>
                <w:lang w:val="en-US"/>
              </w:rPr>
              <w:t> </w:t>
            </w:r>
            <w:r>
              <w:rPr>
                <w:color w:val="000000"/>
                <w:sz w:val="28"/>
                <w:szCs w:val="28"/>
              </w:rPr>
              <w:t>року №</w:t>
            </w:r>
            <w:r>
              <w:rPr>
                <w:color w:val="000000"/>
                <w:sz w:val="28"/>
                <w:szCs w:val="28"/>
                <w:lang w:val="en-US"/>
              </w:rPr>
              <w:t> </w:t>
            </w:r>
            <w:r>
              <w:rPr>
                <w:color w:val="000000"/>
                <w:sz w:val="28"/>
                <w:szCs w:val="28"/>
              </w:rPr>
              <w:t>853 “Деякі питання надання комплексної електронної публічної послуги “єМалятко”. У такому разі факт народження дитини підтверджується відомостями з Державного реєстру актів цивільного стану громадян, отриманими шляхом електронної інформаційної взаємодії.</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6" w:name="n506"/>
            <w:bookmarkEnd w:id="6"/>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7" w:name="n423"/>
            <w:bookmarkEnd w:id="7"/>
            <w:r>
              <w:rPr>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r>
              <w:rPr>
                <w:sz w:val="28"/>
                <w:szCs w:val="28"/>
                <w:shd w:fill="FFFFFF" w:val="clear"/>
              </w:rPr>
              <w:t>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Пенсійного фонду України.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72"/>
              <w:rPr>
                <w:sz w:val="28"/>
                <w:szCs w:val="28"/>
              </w:rPr>
            </w:pPr>
            <w:r>
              <w:rPr>
                <w:color w:val="000000" w:themeColor="text1"/>
                <w:sz w:val="28"/>
                <w:szCs w:val="28"/>
              </w:rPr>
              <w:t xml:space="preserve"> </w:t>
            </w:r>
            <w:r>
              <w:rPr>
                <w:color w:val="000000" w:themeColor="text1"/>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90"/>
              <w:rPr/>
            </w:pPr>
            <w:r>
              <w:rPr/>
              <w:t>звернення за призначенням допомоги надійшло пізніше ніж через 12 місяців з дня народження дитини;</w:t>
            </w:r>
          </w:p>
          <w:p>
            <w:pPr>
              <w:pStyle w:val="Normal"/>
              <w:widowControl w:val="false"/>
              <w:ind w:firstLine="390"/>
              <w:rPr/>
            </w:pPr>
            <w:r>
              <w:rPr/>
              <w:t>народження мертвої дитини;</w:t>
            </w:r>
          </w:p>
          <w:p>
            <w:pPr>
              <w:pStyle w:val="Normal"/>
              <w:widowControl w:val="false"/>
              <w:ind w:firstLine="390"/>
              <w:rPr/>
            </w:pPr>
            <w:r>
              <w:rPr/>
              <w:t>позбавлення отримувача батьківських прав, припинення опіки або звільнення опікуна від його повноважень щодо конкретної дитини;</w:t>
            </w:r>
          </w:p>
          <w:p>
            <w:pPr>
              <w:pStyle w:val="Normal"/>
              <w:widowControl w:val="false"/>
              <w:ind w:firstLine="390"/>
              <w:rPr/>
            </w:pPr>
            <w:r>
              <w:rPr/>
              <w:t>відібрання дитини в отримувача без позбавлення батьківських прав, тимчасового влаштування дитини на повне державне утримання;</w:t>
            </w:r>
          </w:p>
          <w:p>
            <w:pPr>
              <w:pStyle w:val="Normal"/>
              <w:widowControl w:val="false"/>
              <w:ind w:firstLine="390"/>
              <w:rPr>
                <w:shd w:fill="FFFFFF" w:val="clear"/>
              </w:rPr>
            </w:pPr>
            <w:r>
              <w:rPr>
                <w:shd w:fill="FFFFFF" w:val="clear"/>
              </w:rPr>
              <w:t>допомога при народженні дитини</w:t>
            </w:r>
            <w:bookmarkStart w:id="8" w:name="17__Допомога_при_народженні_дитини_призн"/>
            <w:bookmarkEnd w:id="8"/>
            <w:r>
              <w:rPr>
                <w:shd w:fill="FFFFFF" w:val="clear"/>
              </w:rPr>
              <w:t>, яка на</w:t>
            </w:r>
            <w:r>
              <w:rPr/>
              <w:t xml:space="preserve"> встановлення опіки така дитина не досягла однорічного віку,</w:t>
            </w:r>
            <w:r>
              <w:rPr>
                <w:shd w:fill="FFFFFF" w:val="clear"/>
              </w:rPr>
              <w:t xml:space="preserve"> була отримана і не повернута у повному обсязі матер</w:t>
            </w:r>
            <w:r>
              <w:rPr>
                <w:shd w:fill="FFFFFF" w:val="clear"/>
                <w:lang w:val="ru-RU"/>
              </w:rPr>
              <w:t>’</w:t>
            </w:r>
            <w:r>
              <w:rPr>
                <w:shd w:fill="FFFFFF" w:val="clear"/>
              </w:rPr>
              <w:t>ю, яка відмовилася від дитини або батьківські права щодо дитини якої припинено (у разі звернення за допомогою опікуна);</w:t>
            </w:r>
          </w:p>
          <w:p>
            <w:pPr>
              <w:pStyle w:val="Normal"/>
              <w:widowControl w:val="false"/>
              <w:ind w:firstLine="390"/>
              <w:rPr>
                <w:shd w:fill="FFFFFF" w:val="clear"/>
              </w:rPr>
            </w:pPr>
            <w:r>
              <w:rPr>
                <w:shd w:fill="FFFFFF" w:val="clear"/>
              </w:rPr>
              <w:t>непідписання</w:t>
            </w:r>
            <w:bookmarkStart w:id="9" w:name="_GoBack"/>
            <w:bookmarkEnd w:id="9"/>
            <w:r>
              <w:rPr>
                <w:shd w:fill="FFFFFF" w:val="clear"/>
              </w:rPr>
              <w:t xml:space="preserve"> заяви кваліфікованим електронним підписом отримувача в місячний строк (у разі надходження заяви з використанням інформаційно-комунікаційних систем);</w:t>
            </w:r>
          </w:p>
          <w:p>
            <w:pPr>
              <w:pStyle w:val="Normal"/>
              <w:widowControl w:val="false"/>
              <w:ind w:firstLine="390"/>
              <w:rPr>
                <w:lang w:val="ru-RU"/>
              </w:rPr>
            </w:pPr>
            <w:r>
              <w:rPr>
                <w:color w:val="000000"/>
                <w:sz w:val="28"/>
                <w:szCs w:val="28"/>
                <w:shd w:fill="FFFFFF" w:val="clear"/>
              </w:rPr>
              <w:t>звернення за допомогою, не одержаною через смерть одного з батьків, якому ця допомога була призначена, надійшло пізніше ніж через 12 місяців після смерті отримувача допомоги.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10" w:name="n424"/>
            <w:bookmarkStart w:id="11" w:name="o638"/>
            <w:bookmarkEnd w:id="10"/>
            <w:bookmarkEnd w:id="11"/>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p>
    <w:p>
      <w:pPr>
        <w:pStyle w:val="Normal"/>
        <w:rPr>
          <w:szCs w:val="28"/>
        </w:rPr>
      </w:pPr>
      <w:r>
        <w:rPr>
          <w:szCs w:val="28"/>
        </w:rPr>
      </w:r>
      <w:bookmarkStart w:id="12" w:name="n43"/>
      <w:bookmarkStart w:id="13" w:name="n43"/>
      <w:bookmarkEnd w:id="13"/>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3"/>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6</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nau://ukr/853-2023-&#108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Application>LibreOffice/7.5.0.3$Windows_X86_64 LibreOffice_project/c21113d003cd3efa8c53188764377a8272d9d6de</Application>
  <AppVersion>15.0000</AppVersion>
  <Pages>6</Pages>
  <Words>1134</Words>
  <Characters>7620</Characters>
  <CharactersWithSpaces>8729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2026-02-23T09:35:57Z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