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none"/>
        </w:rPr>
        <w:t>21.02.2026</w:t>
      </w:r>
      <w:r>
        <w:rPr/>
        <w:t xml:space="preserve"> №</w:t>
      </w:r>
      <w:r>
        <w:rPr>
          <w:spacing w:val="-1"/>
        </w:rPr>
        <w:t xml:space="preserve"> </w:t>
      </w:r>
      <w:r>
        <w:rPr>
          <w:spacing w:val="-1"/>
          <w:u w:val="none"/>
        </w:rPr>
        <w:t>2165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w:t>
      </w:r>
      <w:r>
        <w:rPr>
          <w:b/>
          <w:bCs/>
          <w:color w:val="auto"/>
          <w:sz w:val="28"/>
          <w:szCs w:val="28"/>
        </w:rPr>
        <w:t>з надання державної допомоги</w:t>
      </w:r>
      <w:r>
        <w:rPr>
          <w:b/>
          <w:bCs/>
          <w:color w:val="000000" w:themeColor="text1"/>
          <w:sz w:val="26"/>
          <w:szCs w:val="26"/>
          <w:shd w:fill="FFFFFF" w:val="clear"/>
        </w:rPr>
        <w:t xml:space="preserve"> </w:t>
      </w:r>
      <w:r>
        <w:rPr>
          <w:b/>
          <w:bCs/>
          <w:color w:val="000000" w:themeColor="text1"/>
          <w:sz w:val="28"/>
          <w:szCs w:val="28"/>
          <w:shd w:fill="FFFFFF" w:val="clear"/>
        </w:rPr>
        <w:t xml:space="preserve">у зв’язку з вагітністю та пологами </w:t>
      </w:r>
    </w:p>
    <w:p>
      <w:pPr>
        <w:pStyle w:val="Default"/>
        <w:jc w:val="center"/>
        <w:rPr>
          <w:b/>
          <w:color w:val="auto"/>
          <w:sz w:val="26"/>
          <w:szCs w:val="26"/>
        </w:rPr>
      </w:pPr>
      <w:r>
        <w:rPr>
          <w:b/>
          <w:color w:val="auto"/>
          <w:sz w:val="26"/>
          <w:szCs w:val="26"/>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z w:val="28"/>
                <w:szCs w:val="28"/>
              </w:rPr>
            </w:pPr>
            <w:r>
              <w:rPr>
                <w:color w:val="000000" w:themeColor="text1"/>
                <w:sz w:val="28"/>
                <w:szCs w:val="28"/>
                <w:shd w:fill="FFFFFF" w:val="clear"/>
              </w:rPr>
              <w:t>Вагітні жінки (у тому числі неповнолітні), які не підлягають загальнообов’язковому державному соціальному страхуванню у зв’язку з тимчасовою втратою працездатності (</w:t>
            </w:r>
            <w:bookmarkStart w:id="1" w:name="n53"/>
            <w:bookmarkStart w:id="2" w:name="n52"/>
            <w:bookmarkEnd w:id="1"/>
            <w:bookmarkEnd w:id="2"/>
            <w:r>
              <w:rPr>
                <w:color w:val="000000" w:themeColor="text1"/>
                <w:sz w:val="28"/>
                <w:szCs w:val="28"/>
                <w:shd w:fill="FFFFFF" w:val="clear"/>
              </w:rPr>
              <w:t xml:space="preserve">крім жінок із числа </w:t>
            </w:r>
            <w:r>
              <w:rPr>
                <w:color w:val="000000"/>
                <w:sz w:val="28"/>
                <w:szCs w:val="28"/>
                <w:shd w:fill="FFFFFF" w:val="clear"/>
              </w:rPr>
              <w:t>військовослужбовців Збройних Сил, Держприкордонслужби, СБУ, Служби зовнішньої розвідки, інших військових формувань, утворених відповідно до законів України, Держспецтрансслужби, Держспецзв’язку</w:t>
            </w:r>
            <w:r>
              <w:rPr>
                <w:color w:val="000000" w:themeColor="text1"/>
                <w:sz w:val="28"/>
                <w:szCs w:val="28"/>
                <w:shd w:fill="FFFFFF" w:val="clear"/>
              </w:rPr>
              <w:t>, із числа поліцейських, осіб начальницького і рядового складу органів та підрозділів служби цивільного захисту, Державної кримінально-виконавчої служби, яким допомога призначається та виплачується за місцем основної роботи (служби)).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keepNext w:val="true"/>
              <w:keepLines/>
              <w:widowControl w:val="false"/>
              <w:shd w:val="clear" w:color="auto" w:fill="FFFFFF"/>
              <w:spacing w:before="0" w:after="0"/>
              <w:ind w:firstLine="390"/>
              <w:contextualSpacing/>
              <w:rPr>
                <w:sz w:val="28"/>
                <w:szCs w:val="28"/>
              </w:rPr>
            </w:pPr>
            <w:r>
              <w:rPr>
                <w:color w:val="000000" w:themeColor="text1"/>
                <w:sz w:val="28"/>
                <w:szCs w:val="28"/>
              </w:rPr>
              <w:t xml:space="preserve"> </w:t>
            </w:r>
            <w:r>
              <w:rPr>
                <w:color w:val="000000"/>
                <w:sz w:val="28"/>
                <w:szCs w:val="28"/>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та/або у разі ускладнених пологів;</w:t>
            </w:r>
          </w:p>
          <w:p>
            <w:pPr>
              <w:pStyle w:val="Normal"/>
              <w:widowControl w:val="false"/>
              <w:shd w:val="clear" w:color="auto" w:fill="FFFFFF"/>
              <w:ind w:firstLine="390"/>
              <w:rPr>
                <w:sz w:val="28"/>
                <w:szCs w:val="28"/>
              </w:rPr>
            </w:pPr>
            <w:r>
              <w:rPr>
                <w:color w:val="000000"/>
                <w:sz w:val="28"/>
                <w:szCs w:val="28"/>
              </w:rPr>
              <w:t>відомості про віднесення жінки до 1–3 категорії осіб, які постраждали внаслідок Чорнобильської катастрофи (за наявності).</w:t>
            </w:r>
          </w:p>
          <w:p>
            <w:pPr>
              <w:pStyle w:val="Normal"/>
              <w:widowControl w:val="false"/>
              <w:shd w:val="clear" w:color="auto" w:fill="FFFFFF"/>
              <w:ind w:firstLine="390"/>
              <w:rPr>
                <w:sz w:val="28"/>
                <w:szCs w:val="28"/>
              </w:rPr>
            </w:pPr>
            <w:r>
              <w:rPr>
                <w:color w:val="000000"/>
                <w:sz w:val="28"/>
                <w:szCs w:val="28"/>
              </w:rPr>
              <w:t>Особи, які усиновили чи взяли під опіку дитину протягом двох місяців з дня її народження, подають рішення про усиновлення чи встановлення опіки.</w:t>
            </w:r>
          </w:p>
          <w:p>
            <w:pPr>
              <w:pStyle w:val="Normal"/>
              <w:widowControl w:val="false"/>
              <w:shd w:val="clear" w:color="auto" w:fill="FFFFFF"/>
              <w:ind w:firstLine="390"/>
              <w:rPr>
                <w:sz w:val="28"/>
                <w:szCs w:val="28"/>
              </w:rPr>
            </w:pPr>
            <w:r>
              <w:rPr>
                <w:color w:val="000000"/>
                <w:sz w:val="28"/>
                <w:szCs w:val="28"/>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p>
            <w:pPr>
              <w:pStyle w:val="Normal"/>
              <w:widowControl w:val="false"/>
              <w:shd w:val="clear" w:color="auto" w:fill="FFFFFF"/>
              <w:spacing w:before="0" w:after="0"/>
              <w:ind w:firstLine="390"/>
              <w:contextualSpacing/>
              <w:rPr>
                <w:sz w:val="28"/>
                <w:szCs w:val="28"/>
              </w:rPr>
            </w:pPr>
            <w:r>
              <w:rPr>
                <w:color w:val="000000"/>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3" w:name="n506"/>
            <w:bookmarkEnd w:id="3"/>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4" w:name="n423"/>
            <w:bookmarkEnd w:id="4"/>
            <w:r>
              <w:rPr>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72"/>
              <w:rPr>
                <w:sz w:val="28"/>
                <w:szCs w:val="28"/>
              </w:rPr>
            </w:pPr>
            <w:r>
              <w:rPr>
                <w:color w:val="000000" w:themeColor="text1"/>
                <w:sz w:val="28"/>
                <w:szCs w:val="28"/>
              </w:rPr>
              <w:t xml:space="preserve"> </w:t>
            </w:r>
            <w:r>
              <w:rPr>
                <w:color w:val="000000" w:themeColor="text1"/>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tabs>
                <w:tab w:val="clear" w:pos="708"/>
                <w:tab w:val="left" w:pos="229" w:leader="none"/>
                <w:tab w:val="left" w:pos="1565" w:leader="none"/>
              </w:tabs>
              <w:ind w:firstLine="390"/>
              <w:rPr>
                <w:sz w:val="28"/>
                <w:szCs w:val="28"/>
              </w:rPr>
            </w:pPr>
            <w:r>
              <w:rPr>
                <w:color w:val="000000"/>
                <w:sz w:val="28"/>
                <w:szCs w:val="28"/>
              </w:rPr>
              <w:t>жінка, яка претендує на призначення допомоги, застрахована в системі загальнообов’язкового соціального страхування;</w:t>
            </w:r>
          </w:p>
          <w:p>
            <w:pPr>
              <w:pStyle w:val="Normal"/>
              <w:widowControl w:val="false"/>
              <w:tabs>
                <w:tab w:val="clear" w:pos="708"/>
                <w:tab w:val="left" w:pos="229" w:leader="none"/>
                <w:tab w:val="left" w:pos="1565" w:leader="none"/>
              </w:tabs>
              <w:ind w:firstLine="390"/>
              <w:rPr>
                <w:sz w:val="28"/>
                <w:szCs w:val="28"/>
              </w:rPr>
            </w:pPr>
            <w:r>
              <w:rPr>
                <w:color w:val="000000"/>
                <w:sz w:val="28"/>
                <w:szCs w:val="28"/>
                <w:shd w:fill="FFFFFF" w:val="clear"/>
              </w:rPr>
              <w:t>звернення за допомогою надійшло пізніше шести місяців з дня закінчення відпустки у зв’язку з вагітністю та пологами;</w:t>
            </w:r>
          </w:p>
          <w:p>
            <w:pPr>
              <w:pStyle w:val="Normal"/>
              <w:widowControl w:val="false"/>
              <w:ind w:firstLine="372"/>
              <w:rPr>
                <w:sz w:val="28"/>
                <w:szCs w:val="28"/>
              </w:rPr>
            </w:pPr>
            <w:r>
              <w:rPr>
                <w:color w:val="000000"/>
                <w:sz w:val="28"/>
                <w:szCs w:val="28"/>
                <w:shd w:fill="FFFFFF" w:val="clear"/>
              </w:rPr>
              <w:t>у разі викидня.</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5" w:name="n424"/>
            <w:bookmarkStart w:id="6" w:name="o638"/>
            <w:bookmarkEnd w:id="5"/>
            <w:bookmarkEnd w:id="6"/>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p>
    <w:p>
      <w:pPr>
        <w:pStyle w:val="Normal"/>
        <w:rPr>
          <w:szCs w:val="28"/>
        </w:rPr>
      </w:pPr>
      <w:r>
        <w:rPr>
          <w:szCs w:val="28"/>
        </w:rPr>
      </w:r>
      <w:bookmarkStart w:id="7" w:name="n43"/>
      <w:bookmarkStart w:id="8" w:name="n43"/>
      <w:bookmarkEnd w:id="8"/>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LibreOffice/7.5.0.3$Windows_X86_64 LibreOffice_project/c21113d003cd3efa8c53188764377a8272d9d6de</Application>
  <AppVersion>15.0000</AppVersion>
  <Pages>5</Pages>
  <Words>922</Words>
  <Characters>6194</Characters>
  <CharactersWithSpaces>7099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2026-02-23T09:27:48Z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